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8748"/>
        <w:gridCol w:w="720"/>
      </w:tblGrid>
      <w:tr w:rsidR="00380E43" w:rsidRPr="00C011AE" w14:paraId="688899F9" w14:textId="77777777">
        <w:trPr>
          <w:cantSplit/>
          <w:trHeight w:val="1151"/>
        </w:trPr>
        <w:tc>
          <w:tcPr>
            <w:tcW w:w="8748" w:type="dxa"/>
          </w:tcPr>
          <w:p w14:paraId="01BA380C" w14:textId="77777777" w:rsidR="00C011AE" w:rsidRDefault="00B6371C" w:rsidP="00B6371C">
            <w:pPr>
              <w:rPr>
                <w:rFonts w:ascii="Arial" w:hAnsi="Arial" w:cs="Arial"/>
                <w:b/>
                <w:bCs/>
                <w:sz w:val="44"/>
              </w:rPr>
            </w:pPr>
            <w:r w:rsidRPr="00C011AE">
              <w:rPr>
                <w:rFonts w:ascii="Arial" w:hAnsi="Arial" w:cs="Arial"/>
                <w:b/>
                <w:bCs/>
                <w:sz w:val="44"/>
              </w:rPr>
              <w:t>WARDLAW APPRAISAL GROUP</w:t>
            </w:r>
          </w:p>
          <w:p w14:paraId="03030BD5" w14:textId="6004DEF4" w:rsidR="00B6371C" w:rsidRDefault="00B6371C" w:rsidP="00B6371C">
            <w:pPr>
              <w:rPr>
                <w:rFonts w:ascii="Arial" w:hAnsi="Arial" w:cs="Arial"/>
                <w:b/>
                <w:bCs/>
                <w:sz w:val="36"/>
                <w:szCs w:val="36"/>
              </w:rPr>
            </w:pPr>
            <w:r w:rsidRPr="00C011AE">
              <w:rPr>
                <w:rFonts w:ascii="Arial" w:hAnsi="Arial" w:cs="Arial"/>
                <w:b/>
                <w:bCs/>
                <w:sz w:val="36"/>
                <w:szCs w:val="36"/>
              </w:rPr>
              <w:t>CLIENT APPRAISAL DISTRICT</w:t>
            </w:r>
          </w:p>
          <w:p w14:paraId="5BEEE9D5" w14:textId="77777777" w:rsidR="00C011AE" w:rsidRPr="00C011AE" w:rsidRDefault="00C011AE" w:rsidP="00B6371C">
            <w:pPr>
              <w:rPr>
                <w:rFonts w:ascii="Arial" w:hAnsi="Arial" w:cs="Arial"/>
                <w:b/>
                <w:sz w:val="20"/>
              </w:rPr>
            </w:pPr>
          </w:p>
          <w:p w14:paraId="26E9916B" w14:textId="5CF27E7B" w:rsidR="00380E43" w:rsidRPr="000A5CD3" w:rsidRDefault="00F73305" w:rsidP="00C011AE">
            <w:pPr>
              <w:pStyle w:val="Heading1"/>
              <w:jc w:val="center"/>
              <w:rPr>
                <w:rFonts w:ascii="Arial" w:hAnsi="Arial" w:cs="Arial"/>
                <w:sz w:val="34"/>
                <w:szCs w:val="34"/>
              </w:rPr>
            </w:pPr>
            <w:r>
              <w:rPr>
                <w:rFonts w:ascii="Arial" w:hAnsi="Arial" w:cs="Arial"/>
                <w:sz w:val="34"/>
                <w:szCs w:val="34"/>
              </w:rPr>
              <w:t xml:space="preserve">        </w:t>
            </w:r>
            <w:r w:rsidR="00380E43" w:rsidRPr="000A5CD3">
              <w:rPr>
                <w:rFonts w:ascii="Arial" w:hAnsi="Arial" w:cs="Arial"/>
                <w:sz w:val="34"/>
                <w:szCs w:val="34"/>
              </w:rPr>
              <w:t xml:space="preserve">Reappraisal Plan </w:t>
            </w:r>
            <w:r w:rsidR="002F0FD6" w:rsidRPr="000A5CD3">
              <w:rPr>
                <w:rFonts w:ascii="Arial" w:hAnsi="Arial" w:cs="Arial"/>
                <w:sz w:val="34"/>
                <w:szCs w:val="34"/>
              </w:rPr>
              <w:t>2027-2028</w:t>
            </w:r>
          </w:p>
        </w:tc>
        <w:tc>
          <w:tcPr>
            <w:tcW w:w="720" w:type="dxa"/>
          </w:tcPr>
          <w:p w14:paraId="697C81B3" w14:textId="77777777" w:rsidR="00380E43" w:rsidRPr="00C011AE" w:rsidRDefault="00380E43">
            <w:pPr>
              <w:spacing w:before="120" w:after="120" w:line="320" w:lineRule="atLeast"/>
              <w:rPr>
                <w:rFonts w:ascii="Arial" w:hAnsi="Arial" w:cs="Arial"/>
              </w:rPr>
            </w:pPr>
          </w:p>
        </w:tc>
      </w:tr>
    </w:tbl>
    <w:p w14:paraId="0696A0AD" w14:textId="0B9C3969" w:rsidR="00C65310" w:rsidRPr="00C011AE" w:rsidRDefault="003317FD" w:rsidP="000A5CD3">
      <w:pPr>
        <w:pStyle w:val="Title"/>
        <w:spacing w:before="120" w:after="120" w:line="320" w:lineRule="atLeast"/>
        <w:ind w:left="1267" w:hanging="1267"/>
        <w:rPr>
          <w:rFonts w:ascii="Arial" w:hAnsi="Arial" w:cs="Arial"/>
          <w:sz w:val="28"/>
          <w14:shadow w14:blurRad="50800" w14:dist="38100" w14:dir="2700000" w14:sx="100000" w14:sy="100000" w14:kx="0" w14:ky="0" w14:algn="tl">
            <w14:srgbClr w14:val="000000">
              <w14:alpha w14:val="60000"/>
            </w14:srgbClr>
          </w14:shadow>
        </w:rPr>
      </w:pPr>
      <w:r w:rsidRPr="00C011AE">
        <w:rPr>
          <w:rFonts w:ascii="Arial" w:hAnsi="Arial" w:cs="Arial"/>
          <w:noProof/>
        </w:rPr>
        <mc:AlternateContent>
          <mc:Choice Requires="wps">
            <w:drawing>
              <wp:anchor distT="0" distB="0" distL="114300" distR="114300" simplePos="0" relativeHeight="251657728" behindDoc="0" locked="0" layoutInCell="1" allowOverlap="1" wp14:anchorId="5079B8C2" wp14:editId="64928F17">
                <wp:simplePos x="0" y="0"/>
                <wp:positionH relativeFrom="column">
                  <wp:posOffset>51435</wp:posOffset>
                </wp:positionH>
                <wp:positionV relativeFrom="paragraph">
                  <wp:posOffset>144145</wp:posOffset>
                </wp:positionV>
                <wp:extent cx="5943600" cy="0"/>
                <wp:effectExtent l="32385" t="31115" r="34290" b="35560"/>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0125E6"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11.35pt" to="472.0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" strokeweight="4.5pt">
                <v:stroke linestyle="thinThick"/>
                <w10:wrap type="topAndBottom"/>
              </v:line>
            </w:pict>
          </mc:Fallback>
        </mc:AlternateContent>
      </w:r>
      <w:r w:rsidR="00C65310" w:rsidRPr="00C011AE">
        <w:rPr>
          <w:rFonts w:ascii="Arial" w:hAnsi="Arial" w:cs="Arial"/>
          <w:sz w:val="28"/>
          <w14:shadow w14:blurRad="50800" w14:dist="38100" w14:dir="2700000" w14:sx="100000" w14:sy="100000" w14:kx="0" w14:ky="0" w14:algn="tl">
            <w14:srgbClr w14:val="000000">
              <w14:alpha w14:val="60000"/>
            </w14:srgbClr>
          </w14:shadow>
        </w:rPr>
        <w:t>Contract Valuation Support</w:t>
      </w:r>
    </w:p>
    <w:p w14:paraId="5B9EB888" w14:textId="77777777" w:rsidR="00C65310" w:rsidRPr="00C011AE" w:rsidRDefault="00C65310" w:rsidP="00C65310">
      <w:pPr>
        <w:pStyle w:val="Heading3"/>
        <w:spacing w:before="120" w:after="120" w:line="320" w:lineRule="atLeast"/>
        <w:jc w:val="left"/>
        <w:rPr>
          <w:rFonts w:ascii="Arial" w:hAnsi="Arial" w:cs="Arial"/>
          <w:bCs/>
          <w:i w:val="0"/>
          <w:iCs/>
          <w:sz w:val="24"/>
        </w:rPr>
      </w:pPr>
      <w:r w:rsidRPr="00C011AE">
        <w:rPr>
          <w:rFonts w:ascii="Arial" w:hAnsi="Arial" w:cs="Arial"/>
          <w:bCs/>
          <w:i w:val="0"/>
          <w:iCs/>
          <w:sz w:val="24"/>
        </w:rPr>
        <w:t>Appraisal Responsibility</w:t>
      </w:r>
    </w:p>
    <w:p w14:paraId="731A0F45" w14:textId="219BDA05" w:rsidR="00790D71" w:rsidRPr="00C011AE" w:rsidRDefault="00C65310" w:rsidP="002F0FD6">
      <w:pPr>
        <w:pStyle w:val="Title"/>
        <w:pBdr>
          <w:bottom w:val="none" w:sz="0" w:space="0" w:color="auto"/>
        </w:pBdr>
        <w:spacing w:before="120" w:after="120" w:line="320" w:lineRule="atLeast"/>
        <w:ind w:left="0" w:firstLine="0"/>
        <w:jc w:val="both"/>
        <w:rPr>
          <w:rFonts w:ascii="Arial" w:hAnsi="Arial" w:cs="Arial"/>
          <w:b w:val="0"/>
          <w:iCs/>
        </w:rPr>
      </w:pPr>
      <w:r w:rsidRPr="00C011AE">
        <w:rPr>
          <w:rFonts w:ascii="Arial" w:hAnsi="Arial" w:cs="Arial"/>
          <w:b w:val="0"/>
          <w:iCs/>
        </w:rPr>
        <w:t>Wardlaw Appraisal Group, LC (Wardlaw) provides complex property appraisal su</w:t>
      </w:r>
      <w:r w:rsidR="000C6322" w:rsidRPr="00C011AE">
        <w:rPr>
          <w:rFonts w:ascii="Arial" w:hAnsi="Arial" w:cs="Arial"/>
          <w:b w:val="0"/>
          <w:iCs/>
        </w:rPr>
        <w:t xml:space="preserve">pport services for </w:t>
      </w:r>
      <w:r w:rsidR="005B1D9B" w:rsidRPr="00C011AE">
        <w:rPr>
          <w:rFonts w:ascii="Arial" w:hAnsi="Arial" w:cs="Arial"/>
          <w:b w:val="0"/>
          <w:iCs/>
        </w:rPr>
        <w:t xml:space="preserve">the </w:t>
      </w:r>
      <w:r w:rsidR="00B6371C" w:rsidRPr="00C011AE">
        <w:rPr>
          <w:rFonts w:ascii="Arial" w:hAnsi="Arial" w:cs="Arial"/>
          <w:b w:val="0"/>
          <w:iCs/>
        </w:rPr>
        <w:t>client C</w:t>
      </w:r>
      <w:r w:rsidR="00345435" w:rsidRPr="00C011AE">
        <w:rPr>
          <w:rFonts w:ascii="Arial" w:hAnsi="Arial" w:cs="Arial"/>
          <w:b w:val="0"/>
          <w:iCs/>
        </w:rPr>
        <w:t>ounty</w:t>
      </w:r>
      <w:r w:rsidR="00B6371C" w:rsidRPr="00C011AE">
        <w:rPr>
          <w:rFonts w:ascii="Arial" w:hAnsi="Arial" w:cs="Arial"/>
          <w:b w:val="0"/>
          <w:iCs/>
        </w:rPr>
        <w:t xml:space="preserve"> and Central</w:t>
      </w:r>
      <w:r w:rsidR="00345435" w:rsidRPr="00C011AE">
        <w:rPr>
          <w:rFonts w:ascii="Arial" w:hAnsi="Arial" w:cs="Arial"/>
          <w:b w:val="0"/>
          <w:iCs/>
        </w:rPr>
        <w:t xml:space="preserve"> Appraisal District</w:t>
      </w:r>
      <w:r w:rsidR="00B6371C" w:rsidRPr="00C011AE">
        <w:rPr>
          <w:rFonts w:ascii="Arial" w:hAnsi="Arial" w:cs="Arial"/>
          <w:b w:val="0"/>
          <w:iCs/>
        </w:rPr>
        <w:t>s</w:t>
      </w:r>
      <w:r w:rsidR="00345435" w:rsidRPr="00C011AE">
        <w:rPr>
          <w:rFonts w:ascii="Arial" w:hAnsi="Arial" w:cs="Arial"/>
          <w:b w:val="0"/>
          <w:iCs/>
        </w:rPr>
        <w:t xml:space="preserve"> </w:t>
      </w:r>
      <w:r w:rsidRPr="00C011AE">
        <w:rPr>
          <w:rFonts w:ascii="Arial" w:hAnsi="Arial" w:cs="Arial"/>
          <w:b w:val="0"/>
          <w:iCs/>
        </w:rPr>
        <w:t>(</w:t>
      </w:r>
      <w:r w:rsidR="00345435" w:rsidRPr="00C011AE">
        <w:rPr>
          <w:rFonts w:ascii="Arial" w:hAnsi="Arial" w:cs="Arial"/>
          <w:b w:val="0"/>
          <w:iCs/>
        </w:rPr>
        <w:t>CAD</w:t>
      </w:r>
      <w:r w:rsidRPr="00C011AE">
        <w:rPr>
          <w:rFonts w:ascii="Arial" w:hAnsi="Arial" w:cs="Arial"/>
          <w:b w:val="0"/>
          <w:iCs/>
        </w:rPr>
        <w:t xml:space="preserve">).  </w:t>
      </w:r>
      <w:r w:rsidR="00790D71" w:rsidRPr="00C011AE">
        <w:rPr>
          <w:rFonts w:ascii="Arial" w:hAnsi="Arial" w:cs="Arial"/>
          <w:b w:val="0"/>
          <w:iCs/>
        </w:rPr>
        <w:t xml:space="preserve">Client CADs contract with Wardlaw because we have specialized expertise </w:t>
      </w:r>
      <w:r w:rsidR="005B1D9B" w:rsidRPr="00C011AE">
        <w:rPr>
          <w:rFonts w:ascii="Arial" w:hAnsi="Arial" w:cs="Arial"/>
          <w:b w:val="0"/>
          <w:iCs/>
        </w:rPr>
        <w:t>that</w:t>
      </w:r>
      <w:r w:rsidR="00790D71" w:rsidRPr="00C011AE">
        <w:rPr>
          <w:rFonts w:ascii="Arial" w:hAnsi="Arial" w:cs="Arial"/>
          <w:b w:val="0"/>
          <w:iCs/>
        </w:rPr>
        <w:t xml:space="preserve"> the CADs may not have in appraising these complex properties.  The complex properties Wardlaw appraises are generally referred to as mineral, utility, industrial, commercial</w:t>
      </w:r>
      <w:r w:rsidR="005B1D9B" w:rsidRPr="00C011AE">
        <w:rPr>
          <w:rFonts w:ascii="Arial" w:hAnsi="Arial" w:cs="Arial"/>
          <w:b w:val="0"/>
          <w:iCs/>
        </w:rPr>
        <w:t>,</w:t>
      </w:r>
      <w:r w:rsidR="00790D71" w:rsidRPr="00C011AE">
        <w:rPr>
          <w:rFonts w:ascii="Arial" w:hAnsi="Arial" w:cs="Arial"/>
          <w:b w:val="0"/>
          <w:iCs/>
        </w:rPr>
        <w:t xml:space="preserve"> </w:t>
      </w:r>
      <w:r w:rsidR="008837F2" w:rsidRPr="00C011AE">
        <w:rPr>
          <w:rFonts w:ascii="Arial" w:hAnsi="Arial" w:cs="Arial"/>
          <w:b w:val="0"/>
          <w:iCs/>
        </w:rPr>
        <w:t>and real properties and</w:t>
      </w:r>
      <w:r w:rsidR="00790D71" w:rsidRPr="00C011AE">
        <w:rPr>
          <w:rFonts w:ascii="Arial" w:hAnsi="Arial" w:cs="Arial"/>
          <w:b w:val="0"/>
          <w:iCs/>
        </w:rPr>
        <w:t xml:space="preserve"> fall under the Texas Property Tax Classification Categories F, G, J, and L.  </w:t>
      </w:r>
    </w:p>
    <w:p w14:paraId="49C8D06A" w14:textId="26060D40" w:rsidR="00C65310" w:rsidRPr="00C011AE" w:rsidRDefault="00790D71" w:rsidP="002F0FD6">
      <w:pPr>
        <w:pStyle w:val="Title"/>
        <w:pBdr>
          <w:bottom w:val="none" w:sz="0" w:space="0" w:color="auto"/>
        </w:pBdr>
        <w:spacing w:before="120" w:after="120" w:line="320" w:lineRule="atLeast"/>
        <w:ind w:left="0" w:firstLine="0"/>
        <w:jc w:val="both"/>
        <w:rPr>
          <w:rFonts w:ascii="Arial" w:hAnsi="Arial" w:cs="Arial"/>
          <w:b w:val="0"/>
          <w:iCs/>
        </w:rPr>
      </w:pPr>
      <w:r w:rsidRPr="00C011AE">
        <w:rPr>
          <w:rFonts w:ascii="Arial" w:hAnsi="Arial" w:cs="Arial"/>
          <w:b w:val="0"/>
          <w:iCs/>
        </w:rPr>
        <w:t xml:space="preserve">The specific contract </w:t>
      </w:r>
      <w:r w:rsidRPr="00C011AE">
        <w:rPr>
          <w:rFonts w:ascii="Arial" w:hAnsi="Arial" w:cs="Arial"/>
          <w:b w:val="0"/>
        </w:rPr>
        <w:t>between Wardlaw and each client CAD specifies appraisal responsibilities. Generally, those responsibilities include discovering, inspecting, appraising, maintaining</w:t>
      </w:r>
      <w:r w:rsidR="0047722F">
        <w:rPr>
          <w:rFonts w:ascii="Arial" w:hAnsi="Arial" w:cs="Arial"/>
          <w:b w:val="0"/>
        </w:rPr>
        <w:t>,</w:t>
      </w:r>
      <w:r w:rsidRPr="00C011AE">
        <w:rPr>
          <w:rFonts w:ascii="Arial" w:hAnsi="Arial" w:cs="Arial"/>
          <w:b w:val="0"/>
        </w:rPr>
        <w:t xml:space="preserve"> and providing ownership and valuation records for the specific properties that are the subject of the contract.  </w:t>
      </w:r>
      <w:r w:rsidR="008837F2" w:rsidRPr="00C011AE">
        <w:rPr>
          <w:rFonts w:ascii="Arial" w:hAnsi="Arial" w:cs="Arial"/>
          <w:b w:val="0"/>
        </w:rPr>
        <w:t>The contracts establish that</w:t>
      </w:r>
      <w:r w:rsidR="008837F2" w:rsidRPr="00C011AE">
        <w:rPr>
          <w:rFonts w:ascii="Arial" w:hAnsi="Arial" w:cs="Arial"/>
        </w:rPr>
        <w:t xml:space="preserve"> </w:t>
      </w:r>
      <w:r w:rsidR="00C65310" w:rsidRPr="00C011AE">
        <w:rPr>
          <w:rFonts w:ascii="Arial" w:hAnsi="Arial" w:cs="Arial"/>
          <w:b w:val="0"/>
          <w:iCs/>
        </w:rPr>
        <w:t xml:space="preserve">Wardlaw acts as an agent of the CAD </w:t>
      </w:r>
      <w:r w:rsidR="008837F2" w:rsidRPr="00C011AE">
        <w:rPr>
          <w:rFonts w:ascii="Arial" w:hAnsi="Arial" w:cs="Arial"/>
          <w:b w:val="0"/>
          <w:iCs/>
        </w:rPr>
        <w:t>to</w:t>
      </w:r>
      <w:r w:rsidR="00C65310" w:rsidRPr="00C011AE">
        <w:rPr>
          <w:rFonts w:ascii="Arial" w:hAnsi="Arial" w:cs="Arial"/>
          <w:b w:val="0"/>
          <w:iCs/>
        </w:rPr>
        <w:t xml:space="preserve"> provide many of the appraisal and support services required under the Texas Property Tax Code and the Uniform Standard</w:t>
      </w:r>
      <w:r w:rsidR="005B1D9B" w:rsidRPr="00C011AE">
        <w:rPr>
          <w:rFonts w:ascii="Arial" w:hAnsi="Arial" w:cs="Arial"/>
          <w:b w:val="0"/>
          <w:iCs/>
        </w:rPr>
        <w:t>s</w:t>
      </w:r>
      <w:r w:rsidR="00C65310" w:rsidRPr="00C011AE">
        <w:rPr>
          <w:rFonts w:ascii="Arial" w:hAnsi="Arial" w:cs="Arial"/>
          <w:b w:val="0"/>
          <w:iCs/>
        </w:rPr>
        <w:t xml:space="preserve"> of Professional Appraisal Practice</w:t>
      </w:r>
      <w:r w:rsidR="00F165B4" w:rsidRPr="00C011AE">
        <w:rPr>
          <w:rFonts w:ascii="Arial" w:hAnsi="Arial" w:cs="Arial"/>
          <w:b w:val="0"/>
          <w:iCs/>
        </w:rPr>
        <w:t xml:space="preserve"> (USPAP)</w:t>
      </w:r>
      <w:r w:rsidR="00C65310" w:rsidRPr="00C011AE">
        <w:rPr>
          <w:rFonts w:ascii="Arial" w:hAnsi="Arial" w:cs="Arial"/>
          <w:b w:val="0"/>
          <w:iCs/>
        </w:rPr>
        <w:t>. This document details the reappraisal practices that Wa</w:t>
      </w:r>
      <w:r w:rsidR="00345435" w:rsidRPr="00C011AE">
        <w:rPr>
          <w:rFonts w:ascii="Arial" w:hAnsi="Arial" w:cs="Arial"/>
          <w:b w:val="0"/>
          <w:iCs/>
        </w:rPr>
        <w:t xml:space="preserve">rdlaw performs on behalf of </w:t>
      </w:r>
      <w:r w:rsidR="008B0A21">
        <w:rPr>
          <w:rFonts w:ascii="Arial" w:hAnsi="Arial" w:cs="Arial"/>
          <w:b w:val="0"/>
          <w:iCs/>
        </w:rPr>
        <w:t xml:space="preserve">our clients </w:t>
      </w:r>
      <w:r w:rsidR="00C65310" w:rsidRPr="00C011AE">
        <w:rPr>
          <w:rFonts w:ascii="Arial" w:hAnsi="Arial" w:cs="Arial"/>
          <w:b w:val="0"/>
          <w:iCs/>
        </w:rPr>
        <w:t>and is intended to be incorporated by</w:t>
      </w:r>
      <w:r w:rsidR="00345435" w:rsidRPr="00C011AE">
        <w:rPr>
          <w:rFonts w:ascii="Arial" w:hAnsi="Arial" w:cs="Arial"/>
          <w:b w:val="0"/>
          <w:iCs/>
        </w:rPr>
        <w:t xml:space="preserve"> </w:t>
      </w:r>
      <w:r w:rsidR="008B0A21">
        <w:rPr>
          <w:rFonts w:ascii="Arial" w:hAnsi="Arial" w:cs="Arial"/>
          <w:b w:val="0"/>
          <w:iCs/>
        </w:rPr>
        <w:t xml:space="preserve">the CADs </w:t>
      </w:r>
      <w:r w:rsidR="00C65310" w:rsidRPr="00C011AE">
        <w:rPr>
          <w:rFonts w:ascii="Arial" w:hAnsi="Arial" w:cs="Arial"/>
          <w:b w:val="0"/>
          <w:iCs/>
        </w:rPr>
        <w:t>into their own Reappraisal Plan.</w:t>
      </w:r>
    </w:p>
    <w:p w14:paraId="37F04036" w14:textId="77777777" w:rsidR="00C65310" w:rsidRPr="00C011AE" w:rsidRDefault="00C65310" w:rsidP="00C65310">
      <w:pPr>
        <w:pStyle w:val="Title"/>
        <w:pBdr>
          <w:bottom w:val="none" w:sz="0" w:space="0" w:color="auto"/>
        </w:pBdr>
        <w:spacing w:before="120" w:after="120" w:line="320" w:lineRule="atLeast"/>
        <w:ind w:left="0" w:firstLine="0"/>
        <w:jc w:val="left"/>
        <w:rPr>
          <w:rFonts w:ascii="Arial" w:hAnsi="Arial" w:cs="Arial"/>
          <w:iCs/>
        </w:rPr>
      </w:pPr>
      <w:r w:rsidRPr="00C011AE">
        <w:rPr>
          <w:rFonts w:ascii="Arial" w:hAnsi="Arial" w:cs="Arial"/>
          <w:iCs/>
        </w:rPr>
        <w:t>Appraisal Calendar</w:t>
      </w:r>
      <w:r w:rsidR="00B62CF2" w:rsidRPr="00C011AE">
        <w:rPr>
          <w:rFonts w:ascii="Arial" w:hAnsi="Arial" w:cs="Arial"/>
          <w:iCs/>
        </w:rPr>
        <w:t xml:space="preserve"> &amp; Timetable</w:t>
      </w:r>
    </w:p>
    <w:p w14:paraId="16DC18F5" w14:textId="77777777" w:rsidR="00C65310" w:rsidRPr="00C011AE" w:rsidRDefault="00C65310" w:rsidP="002F0FD6">
      <w:pPr>
        <w:pStyle w:val="Title"/>
        <w:pBdr>
          <w:bottom w:val="none" w:sz="0" w:space="0" w:color="auto"/>
        </w:pBdr>
        <w:spacing w:before="120" w:after="240" w:line="320" w:lineRule="atLeast"/>
        <w:ind w:left="0" w:firstLine="0"/>
        <w:jc w:val="both"/>
        <w:rPr>
          <w:rFonts w:ascii="Arial" w:hAnsi="Arial" w:cs="Arial"/>
          <w:b w:val="0"/>
          <w:iCs/>
        </w:rPr>
      </w:pPr>
      <w:r w:rsidRPr="00C011AE">
        <w:rPr>
          <w:rFonts w:ascii="Arial" w:hAnsi="Arial" w:cs="Arial"/>
          <w:b w:val="0"/>
          <w:iCs/>
        </w:rPr>
        <w:t xml:space="preserve">Wardlaw adheres to the property tax calendar as established by the State of Texas Property Tax Code. The Wardlaw appraisal calendar </w:t>
      </w:r>
      <w:r w:rsidR="0008603B" w:rsidRPr="00C011AE">
        <w:rPr>
          <w:rFonts w:ascii="Arial" w:hAnsi="Arial" w:cs="Arial"/>
          <w:b w:val="0"/>
          <w:iCs/>
        </w:rPr>
        <w:t>generally follows this schedule:</w:t>
      </w:r>
    </w:p>
    <w:p w14:paraId="14B63178" w14:textId="77777777" w:rsidR="00840B33" w:rsidRPr="00C011AE" w:rsidRDefault="00840B33" w:rsidP="00840B33">
      <w:pPr>
        <w:pStyle w:val="Title"/>
        <w:pBdr>
          <w:bottom w:val="none" w:sz="0" w:space="0" w:color="auto"/>
        </w:pBdr>
        <w:spacing w:after="60"/>
        <w:ind w:left="3510" w:hanging="3510"/>
        <w:jc w:val="left"/>
        <w:rPr>
          <w:rFonts w:ascii="Arial" w:hAnsi="Arial" w:cs="Arial"/>
          <w:iCs/>
        </w:rPr>
      </w:pPr>
      <w:r w:rsidRPr="00C011AE">
        <w:rPr>
          <w:rFonts w:ascii="Arial" w:hAnsi="Arial" w:cs="Arial"/>
          <w:iCs/>
          <w:u w:val="single"/>
        </w:rPr>
        <w:t>Convert to New Year Database:</w:t>
      </w:r>
      <w:r w:rsidRPr="00C011AE">
        <w:rPr>
          <w:rFonts w:ascii="Arial" w:hAnsi="Arial" w:cs="Arial"/>
          <w:iCs/>
        </w:rPr>
        <w:tab/>
        <w:t>~ October 1</w:t>
      </w:r>
    </w:p>
    <w:p w14:paraId="2C94807E" w14:textId="77777777" w:rsidR="00C65310" w:rsidRPr="00C011AE" w:rsidRDefault="00840B33" w:rsidP="00840B33">
      <w:pPr>
        <w:pStyle w:val="Title"/>
        <w:pBdr>
          <w:bottom w:val="none" w:sz="0" w:space="0" w:color="auto"/>
        </w:pBdr>
        <w:spacing w:after="60"/>
        <w:ind w:left="3510" w:hanging="3510"/>
        <w:jc w:val="left"/>
        <w:rPr>
          <w:rFonts w:ascii="Arial" w:hAnsi="Arial" w:cs="Arial"/>
          <w:b w:val="0"/>
          <w:iCs/>
        </w:rPr>
      </w:pPr>
      <w:r w:rsidRPr="00C011AE">
        <w:rPr>
          <w:rFonts w:ascii="Arial" w:hAnsi="Arial" w:cs="Arial"/>
          <w:iCs/>
          <w:u w:val="single"/>
        </w:rPr>
        <w:t>October</w:t>
      </w:r>
      <w:r w:rsidR="00F165B4" w:rsidRPr="00C011AE">
        <w:rPr>
          <w:rFonts w:ascii="Arial" w:hAnsi="Arial" w:cs="Arial"/>
          <w:iCs/>
          <w:u w:val="single"/>
        </w:rPr>
        <w:t xml:space="preserve"> – </w:t>
      </w:r>
      <w:r w:rsidRPr="00C011AE">
        <w:rPr>
          <w:rFonts w:ascii="Arial" w:hAnsi="Arial" w:cs="Arial"/>
          <w:iCs/>
          <w:u w:val="single"/>
        </w:rPr>
        <w:t>March</w:t>
      </w:r>
      <w:r w:rsidR="00F165B4" w:rsidRPr="00C011AE">
        <w:rPr>
          <w:rFonts w:ascii="Arial" w:hAnsi="Arial" w:cs="Arial"/>
          <w:iCs/>
          <w:u w:val="single"/>
        </w:rPr>
        <w:t>:</w:t>
      </w:r>
      <w:r w:rsidR="00F165B4" w:rsidRPr="00C011AE">
        <w:rPr>
          <w:rFonts w:ascii="Arial" w:hAnsi="Arial" w:cs="Arial"/>
          <w:b w:val="0"/>
          <w:iCs/>
        </w:rPr>
        <w:tab/>
      </w:r>
      <w:r w:rsidR="00C65310" w:rsidRPr="00C011AE">
        <w:rPr>
          <w:rFonts w:ascii="Arial" w:hAnsi="Arial" w:cs="Arial"/>
          <w:b w:val="0"/>
          <w:iCs/>
        </w:rPr>
        <w:t>Field Inspections of Properties</w:t>
      </w:r>
      <w:r w:rsidR="00C502FB" w:rsidRPr="00C011AE">
        <w:rPr>
          <w:rFonts w:ascii="Arial" w:hAnsi="Arial" w:cs="Arial"/>
          <w:b w:val="0"/>
          <w:iCs/>
        </w:rPr>
        <w:t xml:space="preserve"> for upcoming tax year</w:t>
      </w:r>
    </w:p>
    <w:p w14:paraId="58122894" w14:textId="77777777" w:rsidR="00C65310" w:rsidRPr="00C011AE" w:rsidRDefault="00F165B4" w:rsidP="00840B33">
      <w:pPr>
        <w:pStyle w:val="Title"/>
        <w:pBdr>
          <w:bottom w:val="none" w:sz="0" w:space="0" w:color="auto"/>
        </w:pBdr>
        <w:spacing w:after="60"/>
        <w:ind w:left="3510" w:hanging="3510"/>
        <w:jc w:val="left"/>
        <w:rPr>
          <w:rFonts w:ascii="Arial" w:hAnsi="Arial" w:cs="Arial"/>
          <w:b w:val="0"/>
          <w:iCs/>
        </w:rPr>
      </w:pPr>
      <w:r w:rsidRPr="00C011AE">
        <w:rPr>
          <w:rFonts w:ascii="Arial" w:hAnsi="Arial" w:cs="Arial"/>
          <w:iCs/>
          <w:u w:val="single"/>
        </w:rPr>
        <w:t>January 1:</w:t>
      </w:r>
      <w:r w:rsidRPr="00C011AE">
        <w:rPr>
          <w:rFonts w:ascii="Arial" w:hAnsi="Arial" w:cs="Arial"/>
          <w:iCs/>
        </w:rPr>
        <w:tab/>
      </w:r>
      <w:r w:rsidRPr="00C011AE">
        <w:rPr>
          <w:rFonts w:ascii="Arial" w:hAnsi="Arial" w:cs="Arial"/>
          <w:b w:val="0"/>
          <w:iCs/>
        </w:rPr>
        <w:tab/>
      </w:r>
      <w:r w:rsidR="00C65310" w:rsidRPr="00C011AE">
        <w:rPr>
          <w:rFonts w:ascii="Arial" w:hAnsi="Arial" w:cs="Arial"/>
          <w:b w:val="0"/>
          <w:iCs/>
        </w:rPr>
        <w:t>Beginning of the Tax Year</w:t>
      </w:r>
    </w:p>
    <w:p w14:paraId="4BABA88E" w14:textId="77777777" w:rsidR="00C65310" w:rsidRPr="00C011AE" w:rsidRDefault="00C65310" w:rsidP="00840B33">
      <w:pPr>
        <w:pStyle w:val="Title"/>
        <w:pBdr>
          <w:bottom w:val="none" w:sz="0" w:space="0" w:color="auto"/>
        </w:pBdr>
        <w:spacing w:after="60"/>
        <w:ind w:left="3510" w:hanging="3510"/>
        <w:jc w:val="left"/>
        <w:rPr>
          <w:rFonts w:ascii="Arial" w:hAnsi="Arial" w:cs="Arial"/>
          <w:b w:val="0"/>
          <w:iCs/>
        </w:rPr>
      </w:pPr>
      <w:r w:rsidRPr="00C011AE">
        <w:rPr>
          <w:rFonts w:ascii="Arial" w:hAnsi="Arial" w:cs="Arial"/>
          <w:iCs/>
          <w:u w:val="single"/>
        </w:rPr>
        <w:t>Prior to January 31:</w:t>
      </w:r>
      <w:r w:rsidRPr="00C011AE">
        <w:rPr>
          <w:rFonts w:ascii="Arial" w:hAnsi="Arial" w:cs="Arial"/>
          <w:iCs/>
        </w:rPr>
        <w:tab/>
      </w:r>
      <w:r w:rsidR="00840B33" w:rsidRPr="00C011AE">
        <w:rPr>
          <w:rFonts w:ascii="Arial" w:hAnsi="Arial" w:cs="Arial"/>
          <w:b w:val="0"/>
          <w:iCs/>
        </w:rPr>
        <w:t>Mail</w:t>
      </w:r>
      <w:r w:rsidR="00840B33" w:rsidRPr="00C011AE">
        <w:rPr>
          <w:rFonts w:ascii="Arial" w:hAnsi="Arial" w:cs="Arial"/>
          <w:iCs/>
        </w:rPr>
        <w:t xml:space="preserve"> </w:t>
      </w:r>
      <w:r w:rsidRPr="00C011AE">
        <w:rPr>
          <w:rFonts w:ascii="Arial" w:hAnsi="Arial" w:cs="Arial"/>
          <w:b w:val="0"/>
          <w:iCs/>
        </w:rPr>
        <w:t>Rendition Request Letters</w:t>
      </w:r>
      <w:r w:rsidR="00F165B4" w:rsidRPr="00C011AE">
        <w:rPr>
          <w:rFonts w:ascii="Arial" w:hAnsi="Arial" w:cs="Arial"/>
          <w:b w:val="0"/>
          <w:iCs/>
        </w:rPr>
        <w:t xml:space="preserve"> </w:t>
      </w:r>
      <w:r w:rsidR="00840B33" w:rsidRPr="00C011AE">
        <w:rPr>
          <w:rFonts w:ascii="Arial" w:hAnsi="Arial" w:cs="Arial"/>
          <w:b w:val="0"/>
          <w:iCs/>
        </w:rPr>
        <w:t>&amp; Operator Data Requests</w:t>
      </w:r>
    </w:p>
    <w:p w14:paraId="136E33EB" w14:textId="77777777" w:rsidR="00C65310" w:rsidRPr="00C011AE" w:rsidRDefault="00C65310" w:rsidP="00840B33">
      <w:pPr>
        <w:pStyle w:val="Title"/>
        <w:pBdr>
          <w:bottom w:val="none" w:sz="0" w:space="0" w:color="auto"/>
        </w:pBdr>
        <w:spacing w:after="60"/>
        <w:ind w:left="3510" w:hanging="3510"/>
        <w:jc w:val="left"/>
        <w:rPr>
          <w:rFonts w:ascii="Arial" w:hAnsi="Arial" w:cs="Arial"/>
          <w:b w:val="0"/>
          <w:iCs/>
        </w:rPr>
      </w:pPr>
      <w:r w:rsidRPr="00C011AE">
        <w:rPr>
          <w:rFonts w:ascii="Arial" w:hAnsi="Arial" w:cs="Arial"/>
          <w:iCs/>
          <w:u w:val="single"/>
        </w:rPr>
        <w:t>January 31:</w:t>
      </w:r>
      <w:r w:rsidRPr="00C011AE">
        <w:rPr>
          <w:rFonts w:ascii="Arial" w:hAnsi="Arial" w:cs="Arial"/>
          <w:iCs/>
          <w:u w:val="single"/>
        </w:rPr>
        <w:tab/>
      </w:r>
      <w:r w:rsidRPr="00C011AE">
        <w:rPr>
          <w:rFonts w:ascii="Arial" w:hAnsi="Arial" w:cs="Arial"/>
          <w:iCs/>
        </w:rPr>
        <w:tab/>
      </w:r>
      <w:r w:rsidRPr="00C011AE">
        <w:rPr>
          <w:rFonts w:ascii="Arial" w:hAnsi="Arial" w:cs="Arial"/>
          <w:b w:val="0"/>
          <w:iCs/>
        </w:rPr>
        <w:t>Last day for receipt of</w:t>
      </w:r>
      <w:r w:rsidR="00F165B4" w:rsidRPr="00C011AE">
        <w:rPr>
          <w:rFonts w:ascii="Arial" w:hAnsi="Arial" w:cs="Arial"/>
          <w:b w:val="0"/>
          <w:iCs/>
        </w:rPr>
        <w:t xml:space="preserve"> 25.25 protests from prior year</w:t>
      </w:r>
    </w:p>
    <w:p w14:paraId="05CA7A2B" w14:textId="43CD5BA8" w:rsidR="00C65310" w:rsidRPr="00C011AE" w:rsidRDefault="00C65310" w:rsidP="00840B33">
      <w:pPr>
        <w:pStyle w:val="Title"/>
        <w:pBdr>
          <w:bottom w:val="none" w:sz="0" w:space="0" w:color="auto"/>
        </w:pBdr>
        <w:spacing w:after="60"/>
        <w:ind w:left="3510" w:hanging="3510"/>
        <w:jc w:val="left"/>
        <w:rPr>
          <w:rFonts w:ascii="Arial" w:hAnsi="Arial" w:cs="Arial"/>
          <w:b w:val="0"/>
          <w:iCs/>
        </w:rPr>
      </w:pPr>
      <w:r w:rsidRPr="00C011AE">
        <w:rPr>
          <w:rFonts w:ascii="Arial" w:hAnsi="Arial" w:cs="Arial"/>
          <w:iCs/>
          <w:u w:val="single"/>
        </w:rPr>
        <w:t xml:space="preserve">April </w:t>
      </w:r>
      <w:r w:rsidR="00243522" w:rsidRPr="00C011AE">
        <w:rPr>
          <w:rFonts w:ascii="Arial" w:hAnsi="Arial" w:cs="Arial"/>
          <w:iCs/>
          <w:u w:val="single"/>
        </w:rPr>
        <w:t xml:space="preserve"> 15</w:t>
      </w:r>
      <w:r w:rsidR="00243522" w:rsidRPr="00C011AE">
        <w:rPr>
          <w:rFonts w:ascii="Arial" w:hAnsi="Arial" w:cs="Arial"/>
          <w:iCs/>
          <w:u w:val="single"/>
          <w:vertAlign w:val="superscript"/>
        </w:rPr>
        <w:t>th</w:t>
      </w:r>
      <w:r w:rsidR="003317FD" w:rsidRPr="00C011AE">
        <w:rPr>
          <w:rFonts w:ascii="Arial" w:hAnsi="Arial" w:cs="Arial"/>
          <w:iCs/>
          <w:u w:val="single"/>
          <w:vertAlign w:val="superscript"/>
        </w:rPr>
        <w:t xml:space="preserve">- </w:t>
      </w:r>
      <w:r w:rsidR="003317FD" w:rsidRPr="00C011AE">
        <w:rPr>
          <w:rFonts w:ascii="Arial" w:hAnsi="Arial" w:cs="Arial"/>
          <w:iCs/>
          <w:u w:val="single"/>
        </w:rPr>
        <w:t>to May 15</w:t>
      </w:r>
      <w:r w:rsidR="003317FD" w:rsidRPr="00C011AE">
        <w:rPr>
          <w:rFonts w:ascii="Arial" w:hAnsi="Arial" w:cs="Arial"/>
          <w:iCs/>
          <w:u w:val="single"/>
          <w:vertAlign w:val="superscript"/>
        </w:rPr>
        <w:t>th</w:t>
      </w:r>
      <w:r w:rsidRPr="00C011AE">
        <w:rPr>
          <w:rFonts w:ascii="Arial" w:hAnsi="Arial" w:cs="Arial"/>
          <w:iCs/>
          <w:u w:val="single"/>
        </w:rPr>
        <w:t>:</w:t>
      </w:r>
      <w:r w:rsidRPr="00C011AE">
        <w:rPr>
          <w:rFonts w:ascii="Arial" w:hAnsi="Arial" w:cs="Arial"/>
          <w:b w:val="0"/>
          <w:iCs/>
        </w:rPr>
        <w:tab/>
      </w:r>
      <w:r w:rsidR="00F165B4" w:rsidRPr="00C011AE">
        <w:rPr>
          <w:rFonts w:ascii="Arial" w:hAnsi="Arial" w:cs="Arial"/>
          <w:b w:val="0"/>
          <w:iCs/>
        </w:rPr>
        <w:t>Renditions due</w:t>
      </w:r>
      <w:r w:rsidR="003978C2" w:rsidRPr="00C011AE">
        <w:rPr>
          <w:rFonts w:ascii="Arial" w:hAnsi="Arial" w:cs="Arial"/>
          <w:b w:val="0"/>
          <w:iCs/>
        </w:rPr>
        <w:t xml:space="preserve"> </w:t>
      </w:r>
      <w:r w:rsidR="00243522" w:rsidRPr="00C011AE">
        <w:rPr>
          <w:rFonts w:ascii="Arial" w:hAnsi="Arial" w:cs="Arial"/>
          <w:b w:val="0"/>
          <w:iCs/>
        </w:rPr>
        <w:t>(dates dependent</w:t>
      </w:r>
      <w:r w:rsidR="003317FD" w:rsidRPr="00C011AE">
        <w:rPr>
          <w:rFonts w:ascii="Arial" w:hAnsi="Arial" w:cs="Arial"/>
          <w:b w:val="0"/>
          <w:iCs/>
        </w:rPr>
        <w:t xml:space="preserve"> </w:t>
      </w:r>
      <w:r w:rsidR="00243522" w:rsidRPr="00C011AE">
        <w:rPr>
          <w:rFonts w:ascii="Arial" w:hAnsi="Arial" w:cs="Arial"/>
          <w:b w:val="0"/>
          <w:iCs/>
        </w:rPr>
        <w:t xml:space="preserve">property type) </w:t>
      </w:r>
    </w:p>
    <w:p w14:paraId="43BD7526" w14:textId="77777777" w:rsidR="00C502FB" w:rsidRPr="00C011AE" w:rsidRDefault="00C502FB" w:rsidP="00840B33">
      <w:pPr>
        <w:pStyle w:val="Title"/>
        <w:pBdr>
          <w:bottom w:val="none" w:sz="0" w:space="0" w:color="auto"/>
        </w:pBdr>
        <w:spacing w:after="60"/>
        <w:ind w:left="3510" w:hanging="3510"/>
        <w:jc w:val="left"/>
        <w:rPr>
          <w:rFonts w:ascii="Arial" w:hAnsi="Arial" w:cs="Arial"/>
          <w:iCs/>
        </w:rPr>
      </w:pPr>
      <w:r w:rsidRPr="00C011AE">
        <w:rPr>
          <w:rFonts w:ascii="Arial" w:hAnsi="Arial" w:cs="Arial"/>
          <w:iCs/>
          <w:u w:val="single"/>
        </w:rPr>
        <w:t>Around April 15:</w:t>
      </w:r>
      <w:r w:rsidRPr="00C011AE">
        <w:rPr>
          <w:rFonts w:ascii="Arial" w:hAnsi="Arial" w:cs="Arial"/>
          <w:iCs/>
        </w:rPr>
        <w:tab/>
      </w:r>
      <w:r w:rsidRPr="00C011AE">
        <w:rPr>
          <w:rFonts w:ascii="Arial" w:hAnsi="Arial" w:cs="Arial"/>
          <w:b w:val="0"/>
          <w:iCs/>
        </w:rPr>
        <w:t>Send out Preliminary Mineral Appraisals</w:t>
      </w:r>
    </w:p>
    <w:p w14:paraId="56440F1E" w14:textId="77777777" w:rsidR="00C65310" w:rsidRPr="00C011AE" w:rsidRDefault="00C65310" w:rsidP="00840B33">
      <w:pPr>
        <w:pStyle w:val="Title"/>
        <w:pBdr>
          <w:bottom w:val="none" w:sz="0" w:space="0" w:color="auto"/>
        </w:pBdr>
        <w:spacing w:after="60"/>
        <w:ind w:left="3510" w:hanging="3510"/>
        <w:jc w:val="left"/>
        <w:rPr>
          <w:rFonts w:ascii="Arial" w:hAnsi="Arial" w:cs="Arial"/>
          <w:b w:val="0"/>
          <w:iCs/>
        </w:rPr>
      </w:pPr>
      <w:r w:rsidRPr="00C011AE">
        <w:rPr>
          <w:rFonts w:ascii="Arial" w:hAnsi="Arial" w:cs="Arial"/>
          <w:iCs/>
          <w:u w:val="single"/>
        </w:rPr>
        <w:t>Around May 1</w:t>
      </w:r>
      <w:r w:rsidRPr="00C011AE">
        <w:rPr>
          <w:rFonts w:ascii="Arial" w:hAnsi="Arial" w:cs="Arial"/>
          <w:iCs/>
        </w:rPr>
        <w:t>:</w:t>
      </w:r>
      <w:r w:rsidRPr="00C011AE">
        <w:rPr>
          <w:rFonts w:ascii="Arial" w:hAnsi="Arial" w:cs="Arial"/>
          <w:iCs/>
        </w:rPr>
        <w:tab/>
      </w:r>
      <w:r w:rsidRPr="00C011AE">
        <w:rPr>
          <w:rFonts w:ascii="Arial" w:hAnsi="Arial" w:cs="Arial"/>
          <w:b w:val="0"/>
          <w:iCs/>
        </w:rPr>
        <w:t xml:space="preserve">Mail </w:t>
      </w:r>
      <w:r w:rsidR="00840B33" w:rsidRPr="00C011AE">
        <w:rPr>
          <w:rFonts w:ascii="Arial" w:hAnsi="Arial" w:cs="Arial"/>
          <w:b w:val="0"/>
          <w:iCs/>
        </w:rPr>
        <w:t xml:space="preserve">Initial </w:t>
      </w:r>
      <w:r w:rsidRPr="00C011AE">
        <w:rPr>
          <w:rFonts w:ascii="Arial" w:hAnsi="Arial" w:cs="Arial"/>
          <w:b w:val="0"/>
          <w:iCs/>
        </w:rPr>
        <w:t>Notices of Appraised Value</w:t>
      </w:r>
    </w:p>
    <w:p w14:paraId="0C04C359" w14:textId="77777777" w:rsidR="00C65310" w:rsidRPr="00C011AE" w:rsidRDefault="00F165B4" w:rsidP="00840B33">
      <w:pPr>
        <w:pStyle w:val="Title"/>
        <w:pBdr>
          <w:bottom w:val="none" w:sz="0" w:space="0" w:color="auto"/>
        </w:pBdr>
        <w:spacing w:after="60"/>
        <w:ind w:left="3510" w:hanging="3510"/>
        <w:jc w:val="left"/>
        <w:rPr>
          <w:rFonts w:ascii="Arial" w:hAnsi="Arial" w:cs="Arial"/>
          <w:b w:val="0"/>
          <w:iCs/>
        </w:rPr>
      </w:pPr>
      <w:r w:rsidRPr="00C011AE">
        <w:rPr>
          <w:rFonts w:ascii="Arial" w:hAnsi="Arial" w:cs="Arial"/>
          <w:iCs/>
          <w:u w:val="single"/>
        </w:rPr>
        <w:t>May 1:</w:t>
      </w:r>
      <w:r w:rsidRPr="00C011AE">
        <w:rPr>
          <w:rFonts w:ascii="Arial" w:hAnsi="Arial" w:cs="Arial"/>
          <w:b w:val="0"/>
          <w:iCs/>
        </w:rPr>
        <w:t xml:space="preserve"> </w:t>
      </w:r>
      <w:r w:rsidRPr="00C011AE">
        <w:rPr>
          <w:rFonts w:ascii="Arial" w:hAnsi="Arial" w:cs="Arial"/>
          <w:b w:val="0"/>
          <w:iCs/>
        </w:rPr>
        <w:tab/>
      </w:r>
      <w:r w:rsidRPr="00C011AE">
        <w:rPr>
          <w:rFonts w:ascii="Arial" w:hAnsi="Arial" w:cs="Arial"/>
          <w:b w:val="0"/>
          <w:iCs/>
        </w:rPr>
        <w:tab/>
      </w:r>
      <w:r w:rsidR="00C65310" w:rsidRPr="00C011AE">
        <w:rPr>
          <w:rFonts w:ascii="Arial" w:hAnsi="Arial" w:cs="Arial"/>
          <w:b w:val="0"/>
          <w:iCs/>
        </w:rPr>
        <w:t xml:space="preserve">Begin Equalization Process. Work with property owners to </w:t>
      </w:r>
      <w:r w:rsidR="00840B33" w:rsidRPr="00C011AE">
        <w:rPr>
          <w:rFonts w:ascii="Arial" w:hAnsi="Arial" w:cs="Arial"/>
          <w:b w:val="0"/>
          <w:iCs/>
        </w:rPr>
        <w:t xml:space="preserve">settle </w:t>
      </w:r>
      <w:r w:rsidR="00C65310" w:rsidRPr="00C011AE">
        <w:rPr>
          <w:rFonts w:ascii="Arial" w:hAnsi="Arial" w:cs="Arial"/>
          <w:b w:val="0"/>
          <w:iCs/>
        </w:rPr>
        <w:t>formal and informal protests</w:t>
      </w:r>
    </w:p>
    <w:p w14:paraId="2DC6F1D1" w14:textId="77777777" w:rsidR="00C65310" w:rsidRPr="00C011AE" w:rsidRDefault="00840B33" w:rsidP="00840B33">
      <w:pPr>
        <w:pStyle w:val="Title"/>
        <w:pBdr>
          <w:bottom w:val="none" w:sz="0" w:space="0" w:color="auto"/>
        </w:pBdr>
        <w:spacing w:after="60"/>
        <w:ind w:left="3510" w:hanging="3510"/>
        <w:jc w:val="left"/>
        <w:rPr>
          <w:rFonts w:ascii="Arial" w:hAnsi="Arial" w:cs="Arial"/>
          <w:b w:val="0"/>
          <w:iCs/>
        </w:rPr>
      </w:pPr>
      <w:r w:rsidRPr="00C011AE">
        <w:rPr>
          <w:rFonts w:ascii="Arial" w:hAnsi="Arial" w:cs="Arial"/>
          <w:iCs/>
          <w:u w:val="single"/>
        </w:rPr>
        <w:t>By</w:t>
      </w:r>
      <w:r w:rsidR="00C65310" w:rsidRPr="00C011AE">
        <w:rPr>
          <w:rFonts w:ascii="Arial" w:hAnsi="Arial" w:cs="Arial"/>
          <w:iCs/>
          <w:u w:val="single"/>
        </w:rPr>
        <w:t xml:space="preserve"> June 1:</w:t>
      </w:r>
      <w:r w:rsidR="00C65310" w:rsidRPr="00C011AE">
        <w:rPr>
          <w:rFonts w:ascii="Arial" w:hAnsi="Arial" w:cs="Arial"/>
          <w:b w:val="0"/>
          <w:iCs/>
        </w:rPr>
        <w:t xml:space="preserve"> </w:t>
      </w:r>
      <w:r w:rsidR="00C65310" w:rsidRPr="00C011AE">
        <w:rPr>
          <w:rFonts w:ascii="Arial" w:hAnsi="Arial" w:cs="Arial"/>
          <w:b w:val="0"/>
          <w:iCs/>
        </w:rPr>
        <w:tab/>
      </w:r>
      <w:r w:rsidRPr="00C011AE">
        <w:rPr>
          <w:rFonts w:ascii="Arial" w:hAnsi="Arial" w:cs="Arial"/>
          <w:b w:val="0"/>
          <w:iCs/>
        </w:rPr>
        <w:tab/>
      </w:r>
      <w:r w:rsidR="00C65310" w:rsidRPr="00C011AE">
        <w:rPr>
          <w:rFonts w:ascii="Arial" w:hAnsi="Arial" w:cs="Arial"/>
          <w:b w:val="0"/>
          <w:iCs/>
        </w:rPr>
        <w:t xml:space="preserve">Mail </w:t>
      </w:r>
      <w:r w:rsidRPr="00C011AE">
        <w:rPr>
          <w:rFonts w:ascii="Arial" w:hAnsi="Arial" w:cs="Arial"/>
          <w:b w:val="0"/>
          <w:iCs/>
        </w:rPr>
        <w:t xml:space="preserve">Remaining </w:t>
      </w:r>
      <w:r w:rsidR="00C65310" w:rsidRPr="00C011AE">
        <w:rPr>
          <w:rFonts w:ascii="Arial" w:hAnsi="Arial" w:cs="Arial"/>
          <w:b w:val="0"/>
          <w:iCs/>
        </w:rPr>
        <w:t>Notices of Appraised Value</w:t>
      </w:r>
    </w:p>
    <w:p w14:paraId="4437B984" w14:textId="77777777" w:rsidR="00C65310" w:rsidRPr="00C011AE" w:rsidRDefault="00C65310" w:rsidP="00840B33">
      <w:pPr>
        <w:pStyle w:val="Title"/>
        <w:pBdr>
          <w:bottom w:val="none" w:sz="0" w:space="0" w:color="auto"/>
        </w:pBdr>
        <w:spacing w:after="60"/>
        <w:ind w:left="3510" w:hanging="3510"/>
        <w:jc w:val="left"/>
        <w:rPr>
          <w:rFonts w:ascii="Arial" w:hAnsi="Arial" w:cs="Arial"/>
          <w:b w:val="0"/>
          <w:iCs/>
        </w:rPr>
      </w:pPr>
      <w:r w:rsidRPr="00C011AE">
        <w:rPr>
          <w:rFonts w:ascii="Arial" w:hAnsi="Arial" w:cs="Arial"/>
          <w:iCs/>
          <w:u w:val="single"/>
        </w:rPr>
        <w:t>Late June – Early July</w:t>
      </w:r>
      <w:r w:rsidRPr="00C011AE">
        <w:rPr>
          <w:rFonts w:ascii="Arial" w:hAnsi="Arial" w:cs="Arial"/>
          <w:iCs/>
        </w:rPr>
        <w:t>:</w:t>
      </w:r>
      <w:r w:rsidRPr="00C011AE">
        <w:rPr>
          <w:rFonts w:ascii="Arial" w:hAnsi="Arial" w:cs="Arial"/>
          <w:b w:val="0"/>
          <w:iCs/>
        </w:rPr>
        <w:tab/>
      </w:r>
      <w:r w:rsidR="00840B33" w:rsidRPr="00C011AE">
        <w:rPr>
          <w:rFonts w:ascii="Arial" w:hAnsi="Arial" w:cs="Arial"/>
          <w:b w:val="0"/>
          <w:iCs/>
        </w:rPr>
        <w:t xml:space="preserve">Informal and Formal </w:t>
      </w:r>
      <w:r w:rsidRPr="00C011AE">
        <w:rPr>
          <w:rFonts w:ascii="Arial" w:hAnsi="Arial" w:cs="Arial"/>
          <w:b w:val="0"/>
          <w:iCs/>
        </w:rPr>
        <w:t>ARB Hearings</w:t>
      </w:r>
    </w:p>
    <w:p w14:paraId="28D4C795" w14:textId="77777777" w:rsidR="00C65310" w:rsidRPr="00C011AE" w:rsidRDefault="00C65310" w:rsidP="00840B33">
      <w:pPr>
        <w:pStyle w:val="Title"/>
        <w:pBdr>
          <w:bottom w:val="none" w:sz="0" w:space="0" w:color="auto"/>
        </w:pBdr>
        <w:spacing w:after="60"/>
        <w:ind w:left="3510" w:hanging="3510"/>
        <w:jc w:val="left"/>
        <w:rPr>
          <w:rFonts w:ascii="Arial" w:hAnsi="Arial" w:cs="Arial"/>
          <w:b w:val="0"/>
          <w:iCs/>
        </w:rPr>
      </w:pPr>
      <w:r w:rsidRPr="00C011AE">
        <w:rPr>
          <w:rFonts w:ascii="Arial" w:hAnsi="Arial" w:cs="Arial"/>
          <w:iCs/>
          <w:u w:val="single"/>
        </w:rPr>
        <w:t>Mid-July</w:t>
      </w:r>
      <w:r w:rsidRPr="00C011AE">
        <w:rPr>
          <w:rFonts w:ascii="Arial" w:hAnsi="Arial" w:cs="Arial"/>
          <w:iCs/>
        </w:rPr>
        <w:t>:</w:t>
      </w:r>
      <w:r w:rsidRPr="00C011AE">
        <w:rPr>
          <w:rFonts w:ascii="Arial" w:hAnsi="Arial" w:cs="Arial"/>
          <w:b w:val="0"/>
          <w:iCs/>
        </w:rPr>
        <w:tab/>
      </w:r>
      <w:r w:rsidRPr="00C011AE">
        <w:rPr>
          <w:rFonts w:ascii="Arial" w:hAnsi="Arial" w:cs="Arial"/>
          <w:b w:val="0"/>
          <w:iCs/>
        </w:rPr>
        <w:tab/>
        <w:t xml:space="preserve">Deliver </w:t>
      </w:r>
      <w:r w:rsidR="00840B33" w:rsidRPr="00C011AE">
        <w:rPr>
          <w:rFonts w:ascii="Arial" w:hAnsi="Arial" w:cs="Arial"/>
          <w:b w:val="0"/>
          <w:iCs/>
        </w:rPr>
        <w:t>T</w:t>
      </w:r>
      <w:r w:rsidRPr="00C011AE">
        <w:rPr>
          <w:rFonts w:ascii="Arial" w:hAnsi="Arial" w:cs="Arial"/>
          <w:b w:val="0"/>
          <w:iCs/>
        </w:rPr>
        <w:t xml:space="preserve">otals and Certified Rolls </w:t>
      </w:r>
      <w:r w:rsidR="00840B33" w:rsidRPr="00C011AE">
        <w:rPr>
          <w:rFonts w:ascii="Arial" w:hAnsi="Arial" w:cs="Arial"/>
          <w:b w:val="0"/>
          <w:iCs/>
        </w:rPr>
        <w:t xml:space="preserve">&amp; Export </w:t>
      </w:r>
      <w:r w:rsidRPr="00C011AE">
        <w:rPr>
          <w:rFonts w:ascii="Arial" w:hAnsi="Arial" w:cs="Arial"/>
          <w:b w:val="0"/>
          <w:iCs/>
        </w:rPr>
        <w:t xml:space="preserve">to </w:t>
      </w:r>
      <w:r w:rsidR="00F0697F" w:rsidRPr="00C011AE">
        <w:rPr>
          <w:rFonts w:ascii="Arial" w:hAnsi="Arial" w:cs="Arial"/>
          <w:b w:val="0"/>
          <w:iCs/>
        </w:rPr>
        <w:t>CAD</w:t>
      </w:r>
      <w:r w:rsidR="00840B33" w:rsidRPr="00C011AE">
        <w:rPr>
          <w:rFonts w:ascii="Arial" w:hAnsi="Arial" w:cs="Arial"/>
          <w:b w:val="0"/>
          <w:iCs/>
        </w:rPr>
        <w:t>s</w:t>
      </w:r>
    </w:p>
    <w:p w14:paraId="05F975AD" w14:textId="77777777" w:rsidR="00C65310" w:rsidRPr="00C011AE" w:rsidRDefault="00C65310" w:rsidP="00840B33">
      <w:pPr>
        <w:pStyle w:val="Title"/>
        <w:pBdr>
          <w:bottom w:val="none" w:sz="0" w:space="0" w:color="auto"/>
        </w:pBdr>
        <w:spacing w:after="60"/>
        <w:ind w:left="3510" w:hanging="3510"/>
        <w:jc w:val="left"/>
        <w:rPr>
          <w:rFonts w:ascii="Arial" w:hAnsi="Arial" w:cs="Arial"/>
          <w:b w:val="0"/>
          <w:iCs/>
        </w:rPr>
      </w:pPr>
      <w:r w:rsidRPr="00C011AE">
        <w:rPr>
          <w:rFonts w:ascii="Arial" w:hAnsi="Arial" w:cs="Arial"/>
          <w:iCs/>
          <w:u w:val="single"/>
        </w:rPr>
        <w:t>August – November</w:t>
      </w:r>
      <w:r w:rsidRPr="00C011AE">
        <w:rPr>
          <w:rFonts w:ascii="Arial" w:hAnsi="Arial" w:cs="Arial"/>
          <w:iCs/>
        </w:rPr>
        <w:t>:</w:t>
      </w:r>
      <w:r w:rsidRPr="00C011AE">
        <w:rPr>
          <w:rFonts w:ascii="Arial" w:hAnsi="Arial" w:cs="Arial"/>
          <w:b w:val="0"/>
          <w:iCs/>
        </w:rPr>
        <w:tab/>
        <w:t>Process Property Supplem</w:t>
      </w:r>
      <w:r w:rsidR="00F165B4" w:rsidRPr="00C011AE">
        <w:rPr>
          <w:rFonts w:ascii="Arial" w:hAnsi="Arial" w:cs="Arial"/>
          <w:b w:val="0"/>
          <w:iCs/>
        </w:rPr>
        <w:t xml:space="preserve">ents, Additions </w:t>
      </w:r>
      <w:r w:rsidR="00243522" w:rsidRPr="00C011AE">
        <w:rPr>
          <w:rFonts w:ascii="Arial" w:hAnsi="Arial" w:cs="Arial"/>
          <w:b w:val="0"/>
          <w:iCs/>
        </w:rPr>
        <w:t>&amp;</w:t>
      </w:r>
      <w:r w:rsidR="00F165B4" w:rsidRPr="00C011AE">
        <w:rPr>
          <w:rFonts w:ascii="Arial" w:hAnsi="Arial" w:cs="Arial"/>
          <w:b w:val="0"/>
          <w:iCs/>
        </w:rPr>
        <w:t xml:space="preserve"> Deletions</w:t>
      </w:r>
    </w:p>
    <w:p w14:paraId="4E241975" w14:textId="77777777" w:rsidR="00C502FB" w:rsidRPr="00C011AE" w:rsidRDefault="00C502FB" w:rsidP="00C502FB">
      <w:pPr>
        <w:pStyle w:val="Title"/>
        <w:pBdr>
          <w:bottom w:val="none" w:sz="0" w:space="0" w:color="auto"/>
        </w:pBdr>
        <w:spacing w:after="60"/>
        <w:ind w:left="3510" w:hanging="3510"/>
        <w:jc w:val="left"/>
        <w:rPr>
          <w:rFonts w:ascii="Arial" w:hAnsi="Arial" w:cs="Arial"/>
          <w:b w:val="0"/>
          <w:iCs/>
        </w:rPr>
      </w:pPr>
      <w:r w:rsidRPr="00C011AE">
        <w:rPr>
          <w:rFonts w:ascii="Arial" w:hAnsi="Arial" w:cs="Arial"/>
          <w:iCs/>
          <w:u w:val="single"/>
        </w:rPr>
        <w:t>Ongoing:</w:t>
      </w:r>
      <w:r w:rsidRPr="00C011AE">
        <w:rPr>
          <w:rFonts w:ascii="Arial" w:hAnsi="Arial" w:cs="Arial"/>
          <w:iCs/>
        </w:rPr>
        <w:tab/>
      </w:r>
      <w:r w:rsidRPr="00C011AE">
        <w:rPr>
          <w:rFonts w:ascii="Arial" w:hAnsi="Arial" w:cs="Arial"/>
          <w:iCs/>
        </w:rPr>
        <w:tab/>
      </w:r>
      <w:r w:rsidRPr="00C011AE">
        <w:rPr>
          <w:rFonts w:ascii="Arial" w:hAnsi="Arial" w:cs="Arial"/>
          <w:b w:val="0"/>
          <w:iCs/>
        </w:rPr>
        <w:t>New Property Discovery</w:t>
      </w:r>
    </w:p>
    <w:p w14:paraId="59F16C67" w14:textId="77777777" w:rsidR="00C502FB" w:rsidRPr="00C011AE" w:rsidRDefault="00C502FB" w:rsidP="00840B33">
      <w:pPr>
        <w:pStyle w:val="Title"/>
        <w:pBdr>
          <w:bottom w:val="none" w:sz="0" w:space="0" w:color="auto"/>
        </w:pBdr>
        <w:spacing w:after="60"/>
        <w:ind w:left="3510" w:hanging="3510"/>
        <w:jc w:val="left"/>
        <w:rPr>
          <w:rFonts w:ascii="Arial" w:hAnsi="Arial" w:cs="Arial"/>
          <w:b w:val="0"/>
          <w:iCs/>
        </w:rPr>
      </w:pPr>
    </w:p>
    <w:p w14:paraId="0EE3BB54" w14:textId="77777777" w:rsidR="004049D0" w:rsidRPr="00C011AE" w:rsidRDefault="004049D0" w:rsidP="00C65310">
      <w:pPr>
        <w:pStyle w:val="Title"/>
        <w:pBdr>
          <w:bottom w:val="none" w:sz="0" w:space="0" w:color="auto"/>
        </w:pBdr>
        <w:spacing w:before="120" w:after="120" w:line="320" w:lineRule="atLeast"/>
        <w:ind w:left="0" w:firstLine="0"/>
        <w:jc w:val="left"/>
        <w:rPr>
          <w:rFonts w:ascii="Arial" w:hAnsi="Arial" w:cs="Arial"/>
          <w:iCs/>
        </w:rPr>
      </w:pPr>
    </w:p>
    <w:p w14:paraId="1806D4EF" w14:textId="29DC98EE" w:rsidR="00C65310" w:rsidRPr="00C011AE" w:rsidRDefault="00C65310" w:rsidP="00C65310">
      <w:pPr>
        <w:pStyle w:val="Title"/>
        <w:pBdr>
          <w:bottom w:val="none" w:sz="0" w:space="0" w:color="auto"/>
        </w:pBdr>
        <w:spacing w:before="120" w:after="120" w:line="320" w:lineRule="atLeast"/>
        <w:ind w:left="0" w:firstLine="0"/>
        <w:jc w:val="left"/>
        <w:rPr>
          <w:rFonts w:ascii="Arial" w:hAnsi="Arial" w:cs="Arial"/>
          <w:iCs/>
        </w:rPr>
      </w:pPr>
      <w:r w:rsidRPr="00C011AE">
        <w:rPr>
          <w:rFonts w:ascii="Arial" w:hAnsi="Arial" w:cs="Arial"/>
          <w:iCs/>
        </w:rPr>
        <w:lastRenderedPageBreak/>
        <w:t>Equalization Period</w:t>
      </w:r>
    </w:p>
    <w:p w14:paraId="592392B7" w14:textId="768FED44" w:rsidR="001570B3" w:rsidRPr="00C011AE" w:rsidRDefault="002F0FD6" w:rsidP="002F0FD6">
      <w:pPr>
        <w:pStyle w:val="Title"/>
        <w:pBdr>
          <w:bottom w:val="none" w:sz="0" w:space="0" w:color="auto"/>
        </w:pBdr>
        <w:spacing w:before="120" w:after="120" w:line="320" w:lineRule="atLeast"/>
        <w:ind w:left="0" w:firstLine="0"/>
        <w:jc w:val="both"/>
        <w:rPr>
          <w:rFonts w:ascii="Arial" w:hAnsi="Arial" w:cs="Arial"/>
          <w:b w:val="0"/>
          <w:iCs/>
        </w:rPr>
      </w:pPr>
      <w:r w:rsidRPr="00C011AE">
        <w:rPr>
          <w:rFonts w:ascii="Arial" w:hAnsi="Arial" w:cs="Arial"/>
          <w:b w:val="0"/>
          <w:iCs/>
        </w:rPr>
        <w:t>The equalization period begins when the Chief Appraiser submits the appraisal records to the Appraisal Review Board</w:t>
      </w:r>
      <w:r w:rsidR="00BF1068" w:rsidRPr="00C011AE">
        <w:rPr>
          <w:rFonts w:ascii="Arial" w:hAnsi="Arial" w:cs="Arial"/>
          <w:b w:val="0"/>
          <w:iCs/>
        </w:rPr>
        <w:t xml:space="preserve"> (ARB)</w:t>
      </w:r>
      <w:r w:rsidRPr="00C011AE">
        <w:rPr>
          <w:rFonts w:ascii="Arial" w:hAnsi="Arial" w:cs="Arial"/>
          <w:b w:val="0"/>
          <w:iCs/>
        </w:rPr>
        <w:t xml:space="preserve"> for review.  </w:t>
      </w:r>
      <w:r w:rsidR="00C65310" w:rsidRPr="00C011AE">
        <w:rPr>
          <w:rFonts w:ascii="Arial" w:hAnsi="Arial" w:cs="Arial"/>
          <w:b w:val="0"/>
          <w:iCs/>
        </w:rPr>
        <w:t xml:space="preserve">Preliminary values established by the 25.19 Notices of Appraised Value are subject to change during </w:t>
      </w:r>
      <w:r w:rsidRPr="00C011AE">
        <w:rPr>
          <w:rFonts w:ascii="Arial" w:hAnsi="Arial" w:cs="Arial"/>
          <w:b w:val="0"/>
          <w:iCs/>
        </w:rPr>
        <w:t>this</w:t>
      </w:r>
      <w:r w:rsidR="00C65310" w:rsidRPr="00C011AE">
        <w:rPr>
          <w:rFonts w:ascii="Arial" w:hAnsi="Arial" w:cs="Arial"/>
          <w:b w:val="0"/>
          <w:iCs/>
        </w:rPr>
        <w:t xml:space="preserve"> period. </w:t>
      </w:r>
      <w:r w:rsidR="00F165B4" w:rsidRPr="00C011AE">
        <w:rPr>
          <w:rFonts w:ascii="Arial" w:hAnsi="Arial" w:cs="Arial"/>
          <w:b w:val="0"/>
          <w:iCs/>
        </w:rPr>
        <w:t>These</w:t>
      </w:r>
      <w:r w:rsidR="00C65310" w:rsidRPr="00C011AE">
        <w:rPr>
          <w:rFonts w:ascii="Arial" w:hAnsi="Arial" w:cs="Arial"/>
          <w:b w:val="0"/>
          <w:iCs/>
        </w:rPr>
        <w:t xml:space="preserve"> changes can be initiated by </w:t>
      </w:r>
      <w:r w:rsidR="005B1D9B" w:rsidRPr="00C011AE">
        <w:rPr>
          <w:rFonts w:ascii="Arial" w:hAnsi="Arial" w:cs="Arial"/>
          <w:b w:val="0"/>
          <w:iCs/>
        </w:rPr>
        <w:t xml:space="preserve">the </w:t>
      </w:r>
      <w:r w:rsidR="00C65310" w:rsidRPr="00C011AE">
        <w:rPr>
          <w:rFonts w:ascii="Arial" w:hAnsi="Arial" w:cs="Arial"/>
          <w:b w:val="0"/>
          <w:iCs/>
        </w:rPr>
        <w:t xml:space="preserve">property owner </w:t>
      </w:r>
      <w:r w:rsidR="005B1D9B" w:rsidRPr="00C011AE">
        <w:rPr>
          <w:rFonts w:ascii="Arial" w:hAnsi="Arial" w:cs="Arial"/>
          <w:b w:val="0"/>
          <w:iCs/>
        </w:rPr>
        <w:t xml:space="preserve">through </w:t>
      </w:r>
      <w:r w:rsidR="00C65310" w:rsidRPr="00C011AE">
        <w:rPr>
          <w:rFonts w:ascii="Arial" w:hAnsi="Arial" w:cs="Arial"/>
          <w:b w:val="0"/>
          <w:iCs/>
        </w:rPr>
        <w:t>formal or informal protests.  The changes can also be initiated by Wardlaw if new information regarding a property becomes available.   Formal and informal prote</w:t>
      </w:r>
      <w:r w:rsidR="00F165B4" w:rsidRPr="00C011AE">
        <w:rPr>
          <w:rFonts w:ascii="Arial" w:hAnsi="Arial" w:cs="Arial"/>
          <w:b w:val="0"/>
          <w:iCs/>
        </w:rPr>
        <w:t xml:space="preserve">sts </w:t>
      </w:r>
      <w:r w:rsidR="005B1D9B" w:rsidRPr="00C011AE">
        <w:rPr>
          <w:rFonts w:ascii="Arial" w:hAnsi="Arial" w:cs="Arial"/>
          <w:b w:val="0"/>
          <w:iCs/>
        </w:rPr>
        <w:t>regarding</w:t>
      </w:r>
      <w:r w:rsidR="00F165B4" w:rsidRPr="00C011AE">
        <w:rPr>
          <w:rFonts w:ascii="Arial" w:hAnsi="Arial" w:cs="Arial"/>
          <w:b w:val="0"/>
          <w:iCs/>
        </w:rPr>
        <w:t xml:space="preserve"> mineral, utility, </w:t>
      </w:r>
      <w:r w:rsidR="00C65310" w:rsidRPr="00C011AE">
        <w:rPr>
          <w:rFonts w:ascii="Arial" w:hAnsi="Arial" w:cs="Arial"/>
          <w:b w:val="0"/>
          <w:iCs/>
        </w:rPr>
        <w:t>industrial</w:t>
      </w:r>
      <w:r w:rsidR="00F165B4" w:rsidRPr="00C011AE">
        <w:rPr>
          <w:rFonts w:ascii="Arial" w:hAnsi="Arial" w:cs="Arial"/>
          <w:b w:val="0"/>
          <w:iCs/>
        </w:rPr>
        <w:t>, commercial</w:t>
      </w:r>
      <w:r w:rsidR="005B1D9B" w:rsidRPr="00C011AE">
        <w:rPr>
          <w:rFonts w:ascii="Arial" w:hAnsi="Arial" w:cs="Arial"/>
          <w:b w:val="0"/>
          <w:iCs/>
        </w:rPr>
        <w:t>,</w:t>
      </w:r>
      <w:r w:rsidR="00C65310" w:rsidRPr="00C011AE">
        <w:rPr>
          <w:rFonts w:ascii="Arial" w:hAnsi="Arial" w:cs="Arial"/>
          <w:b w:val="0"/>
          <w:iCs/>
        </w:rPr>
        <w:t xml:space="preserve"> </w:t>
      </w:r>
      <w:r w:rsidR="00F165B4" w:rsidRPr="00C011AE">
        <w:rPr>
          <w:rFonts w:ascii="Arial" w:hAnsi="Arial" w:cs="Arial"/>
          <w:b w:val="0"/>
          <w:iCs/>
        </w:rPr>
        <w:t xml:space="preserve">and real </w:t>
      </w:r>
      <w:r w:rsidR="00C65310" w:rsidRPr="00C011AE">
        <w:rPr>
          <w:rFonts w:ascii="Arial" w:hAnsi="Arial" w:cs="Arial"/>
          <w:b w:val="0"/>
          <w:iCs/>
        </w:rPr>
        <w:t xml:space="preserve">properties </w:t>
      </w:r>
      <w:r w:rsidR="00FD7106" w:rsidRPr="00C011AE">
        <w:rPr>
          <w:rFonts w:ascii="Arial" w:hAnsi="Arial" w:cs="Arial"/>
          <w:b w:val="0"/>
          <w:iCs/>
        </w:rPr>
        <w:t>are hand</w:t>
      </w:r>
      <w:r w:rsidR="00F232AF" w:rsidRPr="00C011AE">
        <w:rPr>
          <w:rFonts w:ascii="Arial" w:hAnsi="Arial" w:cs="Arial"/>
          <w:b w:val="0"/>
          <w:iCs/>
        </w:rPr>
        <w:t xml:space="preserve">led directly by Wardlaw </w:t>
      </w:r>
      <w:r w:rsidR="00FD7106" w:rsidRPr="00C011AE">
        <w:rPr>
          <w:rFonts w:ascii="Arial" w:hAnsi="Arial" w:cs="Arial"/>
          <w:b w:val="0"/>
          <w:iCs/>
        </w:rPr>
        <w:t>w</w:t>
      </w:r>
      <w:r w:rsidR="00C65310" w:rsidRPr="00C011AE">
        <w:rPr>
          <w:rFonts w:ascii="Arial" w:hAnsi="Arial" w:cs="Arial"/>
          <w:b w:val="0"/>
          <w:iCs/>
        </w:rPr>
        <w:t>ithin the timetables established by the Property Tax Code</w:t>
      </w:r>
      <w:r w:rsidR="00FD7106" w:rsidRPr="00C011AE">
        <w:rPr>
          <w:rFonts w:ascii="Arial" w:hAnsi="Arial" w:cs="Arial"/>
          <w:b w:val="0"/>
          <w:iCs/>
        </w:rPr>
        <w:t>.</w:t>
      </w:r>
      <w:r w:rsidR="00DD54BC" w:rsidRPr="00C011AE">
        <w:rPr>
          <w:rFonts w:ascii="Arial" w:hAnsi="Arial" w:cs="Arial"/>
          <w:b w:val="0"/>
          <w:iCs/>
        </w:rPr>
        <w:t xml:space="preserve"> Wardlaw attempts to contact</w:t>
      </w:r>
      <w:r w:rsidR="00C65310" w:rsidRPr="00C011AE">
        <w:rPr>
          <w:rFonts w:ascii="Arial" w:hAnsi="Arial" w:cs="Arial"/>
          <w:b w:val="0"/>
          <w:iCs/>
        </w:rPr>
        <w:t xml:space="preserve"> prot</w:t>
      </w:r>
      <w:r w:rsidR="001570B3" w:rsidRPr="00C011AE">
        <w:rPr>
          <w:rFonts w:ascii="Arial" w:hAnsi="Arial" w:cs="Arial"/>
          <w:b w:val="0"/>
          <w:iCs/>
        </w:rPr>
        <w:t>esting taxpayers so that we can;</w:t>
      </w:r>
      <w:r w:rsidR="00C65310" w:rsidRPr="00C011AE">
        <w:rPr>
          <w:rFonts w:ascii="Arial" w:hAnsi="Arial" w:cs="Arial"/>
          <w:b w:val="0"/>
          <w:iCs/>
        </w:rPr>
        <w:t xml:space="preserve"> </w:t>
      </w:r>
    </w:p>
    <w:p w14:paraId="44C051AB" w14:textId="77777777" w:rsidR="001570B3" w:rsidRPr="00C011AE" w:rsidRDefault="001570B3" w:rsidP="00C65310">
      <w:pPr>
        <w:pStyle w:val="Title"/>
        <w:pBdr>
          <w:bottom w:val="none" w:sz="0" w:space="0" w:color="auto"/>
        </w:pBdr>
        <w:spacing w:before="120" w:after="120" w:line="320" w:lineRule="atLeast"/>
        <w:ind w:left="0" w:firstLine="0"/>
        <w:jc w:val="left"/>
        <w:rPr>
          <w:rFonts w:ascii="Arial" w:hAnsi="Arial" w:cs="Arial"/>
          <w:b w:val="0"/>
          <w:i/>
          <w:iCs/>
        </w:rPr>
      </w:pPr>
      <w:r w:rsidRPr="00C011AE">
        <w:rPr>
          <w:rFonts w:ascii="Arial" w:hAnsi="Arial" w:cs="Arial"/>
          <w:b w:val="0"/>
          <w:iCs/>
        </w:rPr>
        <w:tab/>
      </w:r>
      <w:r w:rsidR="00C65310" w:rsidRPr="00C011AE">
        <w:rPr>
          <w:rFonts w:ascii="Arial" w:hAnsi="Arial" w:cs="Arial"/>
          <w:b w:val="0"/>
          <w:i/>
          <w:iCs/>
        </w:rPr>
        <w:t xml:space="preserve">1) </w:t>
      </w:r>
      <w:r w:rsidRPr="00C011AE">
        <w:rPr>
          <w:rFonts w:ascii="Arial" w:hAnsi="Arial" w:cs="Arial"/>
          <w:b w:val="0"/>
          <w:i/>
          <w:iCs/>
        </w:rPr>
        <w:t>Provide</w:t>
      </w:r>
      <w:r w:rsidR="00C65310" w:rsidRPr="00C011AE">
        <w:rPr>
          <w:rFonts w:ascii="Arial" w:hAnsi="Arial" w:cs="Arial"/>
          <w:b w:val="0"/>
          <w:i/>
          <w:iCs/>
        </w:rPr>
        <w:t xml:space="preserve"> the taxpayer an opportunity to explai</w:t>
      </w:r>
      <w:r w:rsidRPr="00C011AE">
        <w:rPr>
          <w:rFonts w:ascii="Arial" w:hAnsi="Arial" w:cs="Arial"/>
          <w:b w:val="0"/>
          <w:i/>
          <w:iCs/>
        </w:rPr>
        <w:t>n the reason for their protest</w:t>
      </w:r>
      <w:r w:rsidR="00F0697F" w:rsidRPr="00C011AE">
        <w:rPr>
          <w:rFonts w:ascii="Arial" w:hAnsi="Arial" w:cs="Arial"/>
          <w:b w:val="0"/>
          <w:i/>
          <w:iCs/>
        </w:rPr>
        <w:t>,</w:t>
      </w:r>
    </w:p>
    <w:p w14:paraId="2109E923" w14:textId="77777777" w:rsidR="001570B3" w:rsidRPr="00C011AE" w:rsidRDefault="001570B3" w:rsidP="001570B3">
      <w:pPr>
        <w:pStyle w:val="Title"/>
        <w:pBdr>
          <w:bottom w:val="none" w:sz="0" w:space="0" w:color="auto"/>
        </w:pBdr>
        <w:spacing w:before="120" w:after="120" w:line="320" w:lineRule="atLeast"/>
        <w:ind w:firstLine="0"/>
        <w:jc w:val="left"/>
        <w:rPr>
          <w:rFonts w:ascii="Arial" w:hAnsi="Arial" w:cs="Arial"/>
          <w:b w:val="0"/>
          <w:i/>
          <w:iCs/>
        </w:rPr>
      </w:pPr>
      <w:r w:rsidRPr="00C011AE">
        <w:rPr>
          <w:rFonts w:ascii="Arial" w:hAnsi="Arial" w:cs="Arial"/>
          <w:b w:val="0"/>
          <w:i/>
          <w:iCs/>
        </w:rPr>
        <w:t>2) E</w:t>
      </w:r>
      <w:r w:rsidR="00C65310" w:rsidRPr="00C011AE">
        <w:rPr>
          <w:rFonts w:ascii="Arial" w:hAnsi="Arial" w:cs="Arial"/>
          <w:b w:val="0"/>
          <w:i/>
          <w:iCs/>
        </w:rPr>
        <w:t xml:space="preserve">xplain the appraisal methodology and appraisal parameters used on each </w:t>
      </w:r>
      <w:r w:rsidRPr="00C011AE">
        <w:rPr>
          <w:rFonts w:ascii="Arial" w:hAnsi="Arial" w:cs="Arial"/>
          <w:b w:val="0"/>
          <w:i/>
          <w:iCs/>
        </w:rPr>
        <w:t>protested property</w:t>
      </w:r>
      <w:r w:rsidR="00F0697F" w:rsidRPr="00C011AE">
        <w:rPr>
          <w:rFonts w:ascii="Arial" w:hAnsi="Arial" w:cs="Arial"/>
          <w:b w:val="0"/>
          <w:i/>
          <w:iCs/>
        </w:rPr>
        <w:t>,</w:t>
      </w:r>
    </w:p>
    <w:p w14:paraId="1441994B" w14:textId="4393DD94" w:rsidR="001570B3" w:rsidRPr="00C011AE" w:rsidRDefault="001570B3" w:rsidP="001570B3">
      <w:pPr>
        <w:pStyle w:val="Title"/>
        <w:pBdr>
          <w:bottom w:val="none" w:sz="0" w:space="0" w:color="auto"/>
        </w:pBdr>
        <w:spacing w:before="120" w:after="120" w:line="320" w:lineRule="atLeast"/>
        <w:ind w:firstLine="0"/>
        <w:jc w:val="left"/>
        <w:rPr>
          <w:rFonts w:ascii="Arial" w:hAnsi="Arial" w:cs="Arial"/>
          <w:b w:val="0"/>
          <w:i/>
          <w:iCs/>
        </w:rPr>
      </w:pPr>
      <w:r w:rsidRPr="00C011AE">
        <w:rPr>
          <w:rFonts w:ascii="Arial" w:hAnsi="Arial" w:cs="Arial"/>
          <w:b w:val="0"/>
          <w:i/>
          <w:iCs/>
        </w:rPr>
        <w:t>3) C</w:t>
      </w:r>
      <w:r w:rsidR="00C65310" w:rsidRPr="00C011AE">
        <w:rPr>
          <w:rFonts w:ascii="Arial" w:hAnsi="Arial" w:cs="Arial"/>
          <w:b w:val="0"/>
          <w:i/>
          <w:iCs/>
        </w:rPr>
        <w:t>onsider wh</w:t>
      </w:r>
      <w:r w:rsidR="0008603B" w:rsidRPr="00C011AE">
        <w:rPr>
          <w:rFonts w:ascii="Arial" w:hAnsi="Arial" w:cs="Arial"/>
          <w:b w:val="0"/>
          <w:i/>
          <w:iCs/>
        </w:rPr>
        <w:t xml:space="preserve">ether the preliminary appraisal </w:t>
      </w:r>
      <w:r w:rsidR="00C65310" w:rsidRPr="00C011AE">
        <w:rPr>
          <w:rFonts w:ascii="Arial" w:hAnsi="Arial" w:cs="Arial"/>
          <w:b w:val="0"/>
          <w:i/>
          <w:iCs/>
        </w:rPr>
        <w:t>sh</w:t>
      </w:r>
      <w:r w:rsidR="0008603B" w:rsidRPr="00C011AE">
        <w:rPr>
          <w:rFonts w:ascii="Arial" w:hAnsi="Arial" w:cs="Arial"/>
          <w:b w:val="0"/>
          <w:i/>
          <w:iCs/>
        </w:rPr>
        <w:t xml:space="preserve">ould be adjusted </w:t>
      </w:r>
      <w:r w:rsidR="008C3E94" w:rsidRPr="00C011AE">
        <w:rPr>
          <w:rFonts w:ascii="Arial" w:hAnsi="Arial" w:cs="Arial"/>
          <w:b w:val="0"/>
          <w:i/>
          <w:iCs/>
        </w:rPr>
        <w:t>considering</w:t>
      </w:r>
      <w:r w:rsidRPr="00C011AE">
        <w:rPr>
          <w:rFonts w:ascii="Arial" w:hAnsi="Arial" w:cs="Arial"/>
          <w:b w:val="0"/>
          <w:i/>
          <w:iCs/>
        </w:rPr>
        <w:t xml:space="preserve"> taxpayer evidence</w:t>
      </w:r>
      <w:r w:rsidR="00F0697F" w:rsidRPr="00C011AE">
        <w:rPr>
          <w:rFonts w:ascii="Arial" w:hAnsi="Arial" w:cs="Arial"/>
          <w:b w:val="0"/>
          <w:i/>
          <w:iCs/>
        </w:rPr>
        <w:t>,</w:t>
      </w:r>
      <w:r w:rsidR="002F0FD6" w:rsidRPr="00C011AE">
        <w:rPr>
          <w:rFonts w:ascii="Arial" w:hAnsi="Arial" w:cs="Arial"/>
          <w:b w:val="0"/>
          <w:i/>
          <w:iCs/>
        </w:rPr>
        <w:t xml:space="preserve"> and</w:t>
      </w:r>
    </w:p>
    <w:p w14:paraId="33A280DA" w14:textId="77777777" w:rsidR="00C65310" w:rsidRPr="00C011AE" w:rsidRDefault="001570B3" w:rsidP="00C65310">
      <w:pPr>
        <w:pStyle w:val="Title"/>
        <w:pBdr>
          <w:bottom w:val="none" w:sz="0" w:space="0" w:color="auto"/>
        </w:pBdr>
        <w:spacing w:before="120" w:after="120" w:line="320" w:lineRule="atLeast"/>
        <w:ind w:left="0" w:firstLine="0"/>
        <w:jc w:val="left"/>
        <w:rPr>
          <w:rFonts w:ascii="Arial" w:hAnsi="Arial" w:cs="Arial"/>
          <w:b w:val="0"/>
          <w:i/>
          <w:iCs/>
        </w:rPr>
      </w:pPr>
      <w:r w:rsidRPr="00C011AE">
        <w:rPr>
          <w:rFonts w:ascii="Arial" w:hAnsi="Arial" w:cs="Arial"/>
          <w:b w:val="0"/>
          <w:i/>
          <w:iCs/>
        </w:rPr>
        <w:tab/>
        <w:t>4) P</w:t>
      </w:r>
      <w:r w:rsidR="00C65310" w:rsidRPr="00C011AE">
        <w:rPr>
          <w:rFonts w:ascii="Arial" w:hAnsi="Arial" w:cs="Arial"/>
          <w:b w:val="0"/>
          <w:i/>
          <w:iCs/>
        </w:rPr>
        <w:t>rovide settlement and withdrawal paperwork</w:t>
      </w:r>
      <w:r w:rsidRPr="00C011AE">
        <w:rPr>
          <w:rFonts w:ascii="Arial" w:hAnsi="Arial" w:cs="Arial"/>
          <w:b w:val="0"/>
          <w:i/>
          <w:iCs/>
        </w:rPr>
        <w:t xml:space="preserve"> to the taxpayer if appropriate</w:t>
      </w:r>
      <w:r w:rsidR="00F0697F" w:rsidRPr="00C011AE">
        <w:rPr>
          <w:rFonts w:ascii="Arial" w:hAnsi="Arial" w:cs="Arial"/>
          <w:b w:val="0"/>
          <w:i/>
          <w:iCs/>
        </w:rPr>
        <w:t>.</w:t>
      </w:r>
    </w:p>
    <w:p w14:paraId="7C360448" w14:textId="3C0B2105" w:rsidR="00C65310" w:rsidRPr="00C011AE" w:rsidRDefault="00FD7106" w:rsidP="00BF1068">
      <w:pPr>
        <w:pStyle w:val="Title"/>
        <w:pBdr>
          <w:bottom w:val="none" w:sz="0" w:space="0" w:color="auto"/>
        </w:pBdr>
        <w:spacing w:before="120" w:after="120" w:line="320" w:lineRule="atLeast"/>
        <w:ind w:left="0" w:firstLine="0"/>
        <w:jc w:val="both"/>
        <w:rPr>
          <w:rFonts w:ascii="Arial" w:hAnsi="Arial" w:cs="Arial"/>
          <w:b w:val="0"/>
          <w:iCs/>
        </w:rPr>
      </w:pPr>
      <w:r w:rsidRPr="00C011AE">
        <w:rPr>
          <w:rFonts w:ascii="Arial" w:hAnsi="Arial" w:cs="Arial"/>
          <w:b w:val="0"/>
          <w:iCs/>
        </w:rPr>
        <w:t>Wardlaw directly responds to</w:t>
      </w:r>
      <w:r w:rsidR="00C65310" w:rsidRPr="00C011AE">
        <w:rPr>
          <w:rFonts w:ascii="Arial" w:hAnsi="Arial" w:cs="Arial"/>
          <w:b w:val="0"/>
          <w:iCs/>
        </w:rPr>
        <w:t xml:space="preserve"> taxpayer requests for appraisal information and supporting appraisal </w:t>
      </w:r>
      <w:r w:rsidRPr="00C011AE">
        <w:rPr>
          <w:rFonts w:ascii="Arial" w:hAnsi="Arial" w:cs="Arial"/>
          <w:b w:val="0"/>
          <w:iCs/>
        </w:rPr>
        <w:t>documentation by providing the</w:t>
      </w:r>
      <w:r w:rsidR="00C65310" w:rsidRPr="00C011AE">
        <w:rPr>
          <w:rFonts w:ascii="Arial" w:hAnsi="Arial" w:cs="Arial"/>
          <w:b w:val="0"/>
          <w:iCs/>
        </w:rPr>
        <w:t xml:space="preserve"> requested information in a timely manner.</w:t>
      </w:r>
      <w:r w:rsidR="0008603B" w:rsidRPr="00C011AE">
        <w:rPr>
          <w:rFonts w:ascii="Arial" w:hAnsi="Arial" w:cs="Arial"/>
          <w:b w:val="0"/>
          <w:iCs/>
        </w:rPr>
        <w:t xml:space="preserve">  Wardlaw then </w:t>
      </w:r>
      <w:r w:rsidR="005B1D9B" w:rsidRPr="00C011AE">
        <w:rPr>
          <w:rFonts w:ascii="Arial" w:hAnsi="Arial" w:cs="Arial"/>
          <w:b w:val="0"/>
          <w:iCs/>
        </w:rPr>
        <w:t>represents</w:t>
      </w:r>
      <w:r w:rsidR="0008603B" w:rsidRPr="00C011AE">
        <w:rPr>
          <w:rFonts w:ascii="Arial" w:hAnsi="Arial" w:cs="Arial"/>
          <w:b w:val="0"/>
          <w:iCs/>
        </w:rPr>
        <w:t xml:space="preserve"> the CAD before the </w:t>
      </w:r>
      <w:r w:rsidR="00BF1068" w:rsidRPr="00C011AE">
        <w:rPr>
          <w:rFonts w:ascii="Arial" w:hAnsi="Arial" w:cs="Arial"/>
          <w:b w:val="0"/>
          <w:iCs/>
        </w:rPr>
        <w:t>ARB</w:t>
      </w:r>
      <w:r w:rsidR="001570B3" w:rsidRPr="00C011AE">
        <w:rPr>
          <w:rFonts w:ascii="Arial" w:hAnsi="Arial" w:cs="Arial"/>
          <w:b w:val="0"/>
          <w:iCs/>
        </w:rPr>
        <w:t xml:space="preserve"> </w:t>
      </w:r>
      <w:r w:rsidR="0008603B" w:rsidRPr="00C011AE">
        <w:rPr>
          <w:rFonts w:ascii="Arial" w:hAnsi="Arial" w:cs="Arial"/>
          <w:b w:val="0"/>
          <w:iCs/>
        </w:rPr>
        <w:t xml:space="preserve">to justify </w:t>
      </w:r>
      <w:r w:rsidR="005B1D9B" w:rsidRPr="00C011AE">
        <w:rPr>
          <w:rFonts w:ascii="Arial" w:hAnsi="Arial" w:cs="Arial"/>
          <w:b w:val="0"/>
          <w:iCs/>
        </w:rPr>
        <w:t xml:space="preserve">the </w:t>
      </w:r>
      <w:r w:rsidR="0008603B" w:rsidRPr="00C011AE">
        <w:rPr>
          <w:rFonts w:ascii="Arial" w:hAnsi="Arial" w:cs="Arial"/>
          <w:b w:val="0"/>
          <w:iCs/>
        </w:rPr>
        <w:t xml:space="preserve">appraised values </w:t>
      </w:r>
      <w:r w:rsidR="005B1D9B" w:rsidRPr="00C011AE">
        <w:rPr>
          <w:rFonts w:ascii="Arial" w:hAnsi="Arial" w:cs="Arial"/>
          <w:b w:val="0"/>
          <w:iCs/>
        </w:rPr>
        <w:t>of</w:t>
      </w:r>
      <w:r w:rsidR="0008603B" w:rsidRPr="00C011AE">
        <w:rPr>
          <w:rFonts w:ascii="Arial" w:hAnsi="Arial" w:cs="Arial"/>
          <w:b w:val="0"/>
          <w:iCs/>
        </w:rPr>
        <w:t xml:space="preserve"> all protested properties that fal</w:t>
      </w:r>
      <w:r w:rsidR="001570B3" w:rsidRPr="00C011AE">
        <w:rPr>
          <w:rFonts w:ascii="Arial" w:hAnsi="Arial" w:cs="Arial"/>
          <w:b w:val="0"/>
          <w:iCs/>
        </w:rPr>
        <w:t>l under the mineral, utility,</w:t>
      </w:r>
      <w:r w:rsidR="0008603B" w:rsidRPr="00C011AE">
        <w:rPr>
          <w:rFonts w:ascii="Arial" w:hAnsi="Arial" w:cs="Arial"/>
          <w:b w:val="0"/>
          <w:iCs/>
        </w:rPr>
        <w:t xml:space="preserve"> industrial</w:t>
      </w:r>
      <w:r w:rsidR="001570B3" w:rsidRPr="00C011AE">
        <w:rPr>
          <w:rFonts w:ascii="Arial" w:hAnsi="Arial" w:cs="Arial"/>
          <w:b w:val="0"/>
          <w:iCs/>
        </w:rPr>
        <w:t>, commercial</w:t>
      </w:r>
      <w:r w:rsidR="005B1D9B" w:rsidRPr="00C011AE">
        <w:rPr>
          <w:rFonts w:ascii="Arial" w:hAnsi="Arial" w:cs="Arial"/>
          <w:b w:val="0"/>
          <w:iCs/>
        </w:rPr>
        <w:t>,</w:t>
      </w:r>
      <w:r w:rsidR="001570B3" w:rsidRPr="00C011AE">
        <w:rPr>
          <w:rFonts w:ascii="Arial" w:hAnsi="Arial" w:cs="Arial"/>
          <w:b w:val="0"/>
          <w:iCs/>
        </w:rPr>
        <w:t xml:space="preserve"> and real</w:t>
      </w:r>
      <w:r w:rsidR="0008603B" w:rsidRPr="00C011AE">
        <w:rPr>
          <w:rFonts w:ascii="Arial" w:hAnsi="Arial" w:cs="Arial"/>
          <w:b w:val="0"/>
          <w:iCs/>
        </w:rPr>
        <w:t xml:space="preserve"> </w:t>
      </w:r>
      <w:r w:rsidR="005B1D9B" w:rsidRPr="00C011AE">
        <w:rPr>
          <w:rFonts w:ascii="Arial" w:hAnsi="Arial" w:cs="Arial"/>
          <w:b w:val="0"/>
          <w:iCs/>
        </w:rPr>
        <w:t>estate contracts</w:t>
      </w:r>
      <w:r w:rsidR="0008603B" w:rsidRPr="00C011AE">
        <w:rPr>
          <w:rFonts w:ascii="Arial" w:hAnsi="Arial" w:cs="Arial"/>
          <w:b w:val="0"/>
          <w:iCs/>
        </w:rPr>
        <w:t xml:space="preserve">.  </w:t>
      </w:r>
    </w:p>
    <w:p w14:paraId="5DED0308" w14:textId="51964953" w:rsidR="00380E43" w:rsidRPr="00C011AE" w:rsidRDefault="00C65310" w:rsidP="004049D0">
      <w:pPr>
        <w:pStyle w:val="Title"/>
        <w:pBdr>
          <w:bottom w:val="none" w:sz="0" w:space="0" w:color="auto"/>
        </w:pBdr>
        <w:spacing w:before="120" w:after="120" w:line="320" w:lineRule="atLeast"/>
        <w:ind w:left="0" w:firstLine="0"/>
        <w:jc w:val="both"/>
        <w:rPr>
          <w:rFonts w:ascii="Arial" w:hAnsi="Arial" w:cs="Arial"/>
          <w:b w:val="0"/>
          <w:iCs/>
        </w:rPr>
      </w:pPr>
      <w:r w:rsidRPr="00C011AE">
        <w:rPr>
          <w:rFonts w:ascii="Arial" w:hAnsi="Arial" w:cs="Arial"/>
          <w:b w:val="0"/>
          <w:iCs/>
        </w:rPr>
        <w:t xml:space="preserve">Documentary evidence of formal and informal changes </w:t>
      </w:r>
      <w:r w:rsidR="00C576D4" w:rsidRPr="00C011AE">
        <w:rPr>
          <w:rFonts w:ascii="Arial" w:hAnsi="Arial" w:cs="Arial"/>
          <w:b w:val="0"/>
          <w:iCs/>
        </w:rPr>
        <w:t>is</w:t>
      </w:r>
      <w:r w:rsidR="0008603B" w:rsidRPr="00C011AE">
        <w:rPr>
          <w:rFonts w:ascii="Arial" w:hAnsi="Arial" w:cs="Arial"/>
          <w:b w:val="0"/>
          <w:iCs/>
        </w:rPr>
        <w:t xml:space="preserve"> then</w:t>
      </w:r>
      <w:r w:rsidRPr="00C011AE">
        <w:rPr>
          <w:rFonts w:ascii="Arial" w:hAnsi="Arial" w:cs="Arial"/>
          <w:b w:val="0"/>
          <w:iCs/>
        </w:rPr>
        <w:t xml:space="preserve"> provided to</w:t>
      </w:r>
      <w:r w:rsidR="00C576D4" w:rsidRPr="00C011AE">
        <w:rPr>
          <w:rFonts w:ascii="Arial" w:hAnsi="Arial" w:cs="Arial"/>
          <w:b w:val="0"/>
          <w:iCs/>
        </w:rPr>
        <w:t xml:space="preserve"> the CAD and ARB in the form of</w:t>
      </w:r>
      <w:r w:rsidRPr="00C011AE">
        <w:rPr>
          <w:rFonts w:ascii="Arial" w:hAnsi="Arial" w:cs="Arial"/>
          <w:b w:val="0"/>
          <w:iCs/>
        </w:rPr>
        <w:t xml:space="preserve"> Withdrawal</w:t>
      </w:r>
      <w:r w:rsidR="00C576D4" w:rsidRPr="00C011AE">
        <w:rPr>
          <w:rFonts w:ascii="Arial" w:hAnsi="Arial" w:cs="Arial"/>
          <w:b w:val="0"/>
          <w:iCs/>
        </w:rPr>
        <w:t xml:space="preserve"> of Protest Settlement waivers</w:t>
      </w:r>
      <w:r w:rsidRPr="00C011AE">
        <w:rPr>
          <w:rFonts w:ascii="Arial" w:hAnsi="Arial" w:cs="Arial"/>
          <w:b w:val="0"/>
          <w:iCs/>
        </w:rPr>
        <w:t xml:space="preserve"> on </w:t>
      </w:r>
      <w:r w:rsidR="0008603B" w:rsidRPr="00C011AE">
        <w:rPr>
          <w:rFonts w:ascii="Arial" w:hAnsi="Arial" w:cs="Arial"/>
          <w:b w:val="0"/>
          <w:iCs/>
        </w:rPr>
        <w:t xml:space="preserve">formally protested accounts.  The </w:t>
      </w:r>
      <w:r w:rsidRPr="00C011AE">
        <w:rPr>
          <w:rFonts w:ascii="Arial" w:hAnsi="Arial" w:cs="Arial"/>
          <w:b w:val="0"/>
          <w:iCs/>
        </w:rPr>
        <w:t>fin</w:t>
      </w:r>
      <w:r w:rsidR="0008603B" w:rsidRPr="00C011AE">
        <w:rPr>
          <w:rFonts w:ascii="Arial" w:hAnsi="Arial" w:cs="Arial"/>
          <w:b w:val="0"/>
          <w:iCs/>
        </w:rPr>
        <w:t>al values are then delivered for</w:t>
      </w:r>
      <w:r w:rsidRPr="00C011AE">
        <w:rPr>
          <w:rFonts w:ascii="Arial" w:hAnsi="Arial" w:cs="Arial"/>
          <w:b w:val="0"/>
          <w:iCs/>
        </w:rPr>
        <w:t xml:space="preserve"> certification.</w:t>
      </w:r>
    </w:p>
    <w:p w14:paraId="2EE52884" w14:textId="77777777" w:rsidR="004049D0" w:rsidRPr="00C011AE" w:rsidRDefault="004049D0" w:rsidP="004049D0">
      <w:pPr>
        <w:pStyle w:val="Title"/>
        <w:pBdr>
          <w:bottom w:val="none" w:sz="0" w:space="0" w:color="auto"/>
        </w:pBdr>
        <w:spacing w:before="120" w:after="120" w:line="320" w:lineRule="atLeast"/>
        <w:ind w:left="0" w:firstLine="0"/>
        <w:jc w:val="both"/>
        <w:rPr>
          <w:rFonts w:ascii="Arial" w:hAnsi="Arial" w:cs="Arial"/>
          <w:b w:val="0"/>
          <w:iCs/>
        </w:rPr>
      </w:pPr>
    </w:p>
    <w:p w14:paraId="689A3ABF" w14:textId="77777777" w:rsidR="00380E43" w:rsidRPr="00C011AE" w:rsidRDefault="00380E43">
      <w:pPr>
        <w:pStyle w:val="Title"/>
        <w:spacing w:before="120" w:after="120" w:line="320" w:lineRule="atLeast"/>
        <w:ind w:left="1267" w:hanging="1267"/>
        <w:rPr>
          <w:rFonts w:ascii="Arial" w:hAnsi="Arial" w:cs="Arial"/>
          <w:sz w:val="28"/>
          <w14:shadow w14:blurRad="50800" w14:dist="38100" w14:dir="2700000" w14:sx="100000" w14:sy="100000" w14:kx="0" w14:ky="0" w14:algn="tl">
            <w14:srgbClr w14:val="000000">
              <w14:alpha w14:val="60000"/>
            </w14:srgbClr>
          </w14:shadow>
        </w:rPr>
      </w:pPr>
      <w:r w:rsidRPr="00C011AE">
        <w:rPr>
          <w:rFonts w:ascii="Arial" w:hAnsi="Arial" w:cs="Arial"/>
          <w:sz w:val="28"/>
          <w14:shadow w14:blurRad="50800" w14:dist="38100" w14:dir="2700000" w14:sx="100000" w14:sy="100000" w14:kx="0" w14:ky="0" w14:algn="tl">
            <w14:srgbClr w14:val="000000">
              <w14:alpha w14:val="60000"/>
            </w14:srgbClr>
          </w14:shadow>
        </w:rPr>
        <w:t>Minerals (Oil and Gas Reserves) Valuation Process</w:t>
      </w:r>
    </w:p>
    <w:p w14:paraId="7FCCA05A" w14:textId="77777777" w:rsidR="00380E43" w:rsidRPr="00C011AE" w:rsidRDefault="00380E43" w:rsidP="00C65310">
      <w:pPr>
        <w:pStyle w:val="Heading3"/>
        <w:spacing w:before="120" w:after="120" w:line="320" w:lineRule="atLeast"/>
        <w:jc w:val="left"/>
        <w:rPr>
          <w:rFonts w:ascii="Arial" w:hAnsi="Arial" w:cs="Arial"/>
          <w:bCs/>
          <w:i w:val="0"/>
          <w:iCs/>
          <w:sz w:val="24"/>
        </w:rPr>
      </w:pPr>
      <w:r w:rsidRPr="00C011AE">
        <w:rPr>
          <w:rFonts w:ascii="Arial" w:hAnsi="Arial" w:cs="Arial"/>
          <w:bCs/>
          <w:i w:val="0"/>
          <w:iCs/>
          <w:sz w:val="24"/>
        </w:rPr>
        <w:t>Appraisal Responsibility</w:t>
      </w:r>
    </w:p>
    <w:p w14:paraId="68309D45" w14:textId="11FE989B" w:rsidR="004901E5" w:rsidRPr="00C011AE" w:rsidRDefault="004901E5" w:rsidP="0008223F">
      <w:pPr>
        <w:pStyle w:val="BodyText2"/>
        <w:spacing w:before="120" w:after="120" w:line="320" w:lineRule="atLeast"/>
        <w:rPr>
          <w:rFonts w:ascii="Arial" w:hAnsi="Arial" w:cs="Arial"/>
          <w:iCs/>
        </w:rPr>
      </w:pPr>
      <w:r w:rsidRPr="00C011AE">
        <w:rPr>
          <w:rFonts w:ascii="Arial" w:hAnsi="Arial" w:cs="Arial"/>
          <w:iCs/>
        </w:rPr>
        <w:t>Minerals-in-place (oil and gas reserves) are real property classified as Category G property under the Texas Property Tax Co</w:t>
      </w:r>
      <w:r w:rsidR="00D94FFF" w:rsidRPr="00C011AE">
        <w:rPr>
          <w:rFonts w:ascii="Arial" w:hAnsi="Arial" w:cs="Arial"/>
          <w:iCs/>
        </w:rPr>
        <w:t>de. As a commodity, minerals-in-</w:t>
      </w:r>
      <w:r w:rsidRPr="00C011AE">
        <w:rPr>
          <w:rFonts w:ascii="Arial" w:hAnsi="Arial" w:cs="Arial"/>
          <w:iCs/>
        </w:rPr>
        <w:t>place are part of a national market</w:t>
      </w:r>
      <w:r w:rsidR="005B1D9B" w:rsidRPr="00C011AE">
        <w:rPr>
          <w:rFonts w:ascii="Arial" w:hAnsi="Arial" w:cs="Arial"/>
          <w:iCs/>
        </w:rPr>
        <w:t>,</w:t>
      </w:r>
      <w:r w:rsidRPr="00C011AE">
        <w:rPr>
          <w:rFonts w:ascii="Arial" w:hAnsi="Arial" w:cs="Arial"/>
          <w:iCs/>
        </w:rPr>
        <w:t xml:space="preserve"> so there is no local market area to consider.  Wardlaw performs an appraisal as of January 1 each year on every producing mineral property in the CAD to determine the market value of the oil and gas mineral reserves for ad valorem tax purposes.</w:t>
      </w:r>
    </w:p>
    <w:p w14:paraId="2C0E5495" w14:textId="1F840918" w:rsidR="004901E5" w:rsidRPr="00C011AE" w:rsidRDefault="004901E5" w:rsidP="004901E5">
      <w:pPr>
        <w:pStyle w:val="BodyText2"/>
        <w:spacing w:before="120" w:after="120" w:line="320" w:lineRule="atLeast"/>
        <w:rPr>
          <w:rFonts w:ascii="Arial" w:hAnsi="Arial" w:cs="Arial"/>
        </w:rPr>
      </w:pPr>
      <w:r w:rsidRPr="00C011AE">
        <w:rPr>
          <w:rFonts w:ascii="Arial" w:hAnsi="Arial" w:cs="Arial"/>
        </w:rPr>
        <w:t xml:space="preserve">DCF analysis is the primary method used for appraising mineral properties.  The Market Data Comparison Method of Appraisal (Section 23.013) </w:t>
      </w:r>
      <w:r w:rsidR="006D7316" w:rsidRPr="00C011AE">
        <w:rPr>
          <w:rFonts w:ascii="Arial" w:hAnsi="Arial" w:cs="Arial"/>
        </w:rPr>
        <w:t xml:space="preserve">can be used when appropriate and when the necessary data is available.  However, because the sales and purchase prices of oil and gas properties are not generally disclosed, the Market Data Comparison method is seldom used.  The Cost </w:t>
      </w:r>
      <w:r w:rsidRPr="00C011AE">
        <w:rPr>
          <w:rFonts w:ascii="Arial" w:hAnsi="Arial" w:cs="Arial"/>
        </w:rPr>
        <w:t>Method of Appraisal (Section 23.011)</w:t>
      </w:r>
      <w:r w:rsidR="00297D33" w:rsidRPr="00C011AE">
        <w:rPr>
          <w:rFonts w:ascii="Arial" w:hAnsi="Arial" w:cs="Arial"/>
        </w:rPr>
        <w:t xml:space="preserve"> </w:t>
      </w:r>
      <w:r w:rsidRPr="00C011AE">
        <w:rPr>
          <w:rFonts w:ascii="Arial" w:hAnsi="Arial" w:cs="Arial"/>
        </w:rPr>
        <w:t xml:space="preserve">does not estimate the market value </w:t>
      </w:r>
      <w:r w:rsidR="00297D33" w:rsidRPr="00C011AE">
        <w:rPr>
          <w:rFonts w:ascii="Arial" w:hAnsi="Arial" w:cs="Arial"/>
        </w:rPr>
        <w:t>as defined in Section 1.04 of the Texas Property Tax Code</w:t>
      </w:r>
      <w:r w:rsidR="005B1D9B" w:rsidRPr="00C011AE">
        <w:rPr>
          <w:rFonts w:ascii="Arial" w:hAnsi="Arial" w:cs="Arial"/>
        </w:rPr>
        <w:t>,</w:t>
      </w:r>
      <w:r w:rsidR="006D7316" w:rsidRPr="00C011AE">
        <w:rPr>
          <w:rFonts w:ascii="Arial" w:hAnsi="Arial" w:cs="Arial"/>
        </w:rPr>
        <w:t xml:space="preserve"> and </w:t>
      </w:r>
      <w:r w:rsidR="005B1D9B" w:rsidRPr="00C011AE">
        <w:rPr>
          <w:rFonts w:ascii="Arial" w:hAnsi="Arial" w:cs="Arial"/>
        </w:rPr>
        <w:t>becaus</w:t>
      </w:r>
      <w:r w:rsidR="006D7316" w:rsidRPr="00C011AE">
        <w:rPr>
          <w:rFonts w:ascii="Arial" w:hAnsi="Arial" w:cs="Arial"/>
        </w:rPr>
        <w:t xml:space="preserve">e the cost of drilling a well </w:t>
      </w:r>
      <w:r w:rsidR="005B1D9B" w:rsidRPr="00C011AE">
        <w:rPr>
          <w:rFonts w:ascii="Arial" w:hAnsi="Arial" w:cs="Arial"/>
        </w:rPr>
        <w:t>is</w:t>
      </w:r>
      <w:r w:rsidR="006D7316" w:rsidRPr="00C011AE">
        <w:rPr>
          <w:rFonts w:ascii="Arial" w:hAnsi="Arial" w:cs="Arial"/>
        </w:rPr>
        <w:t xml:space="preserve"> </w:t>
      </w:r>
      <w:r w:rsidR="005B1D9B" w:rsidRPr="00C011AE">
        <w:rPr>
          <w:rFonts w:ascii="Arial" w:hAnsi="Arial" w:cs="Arial"/>
        </w:rPr>
        <w:t>unrelated</w:t>
      </w:r>
      <w:r w:rsidR="006D7316" w:rsidRPr="00C011AE">
        <w:rPr>
          <w:rFonts w:ascii="Arial" w:hAnsi="Arial" w:cs="Arial"/>
        </w:rPr>
        <w:t xml:space="preserve"> to the value of the production, the cost method is </w:t>
      </w:r>
      <w:r w:rsidR="005B1D9B" w:rsidRPr="00C011AE">
        <w:rPr>
          <w:rFonts w:ascii="Arial" w:hAnsi="Arial" w:cs="Arial"/>
        </w:rPr>
        <w:t>in</w:t>
      </w:r>
      <w:r w:rsidR="006D7316" w:rsidRPr="00C011AE">
        <w:rPr>
          <w:rFonts w:ascii="Arial" w:hAnsi="Arial" w:cs="Arial"/>
        </w:rPr>
        <w:t>valid.</w:t>
      </w:r>
    </w:p>
    <w:p w14:paraId="3CCF9CEA" w14:textId="77777777" w:rsidR="0008223F" w:rsidRPr="00C011AE" w:rsidRDefault="0008223F" w:rsidP="0008223F">
      <w:pPr>
        <w:pStyle w:val="BodyText2"/>
        <w:spacing w:before="120" w:after="120" w:line="320" w:lineRule="atLeast"/>
        <w:rPr>
          <w:rFonts w:ascii="Arial" w:hAnsi="Arial" w:cs="Arial"/>
        </w:rPr>
      </w:pPr>
      <w:r w:rsidRPr="00C011AE">
        <w:rPr>
          <w:rFonts w:ascii="Arial" w:hAnsi="Arial" w:cs="Arial"/>
        </w:rPr>
        <w:lastRenderedPageBreak/>
        <w:t>Discounted Cash Flow (DCF) analysis is the Income Method of Appraisal (Section 23.012 of the Texas Property Tax Code) and is used as the most appropriate technique for determining the market value of mineral properties.  WAG uses DCF analysis to appraise every producing lease in the appraisal districts we support.  The appraised value of each lease is distributed to each working interest, royalty</w:t>
      </w:r>
      <w:r w:rsidR="00B335F6" w:rsidRPr="00C011AE">
        <w:rPr>
          <w:rFonts w:ascii="Arial" w:hAnsi="Arial" w:cs="Arial"/>
        </w:rPr>
        <w:t xml:space="preserve"> interest</w:t>
      </w:r>
      <w:r w:rsidRPr="00C011AE">
        <w:rPr>
          <w:rFonts w:ascii="Arial" w:hAnsi="Arial" w:cs="Arial"/>
        </w:rPr>
        <w:t>, and overriding</w:t>
      </w:r>
      <w:r w:rsidR="00B335F6" w:rsidRPr="00C011AE">
        <w:rPr>
          <w:rFonts w:ascii="Arial" w:hAnsi="Arial" w:cs="Arial"/>
        </w:rPr>
        <w:t xml:space="preserve"> royalty interest owner based up</w:t>
      </w:r>
      <w:r w:rsidRPr="00C011AE">
        <w:rPr>
          <w:rFonts w:ascii="Arial" w:hAnsi="Arial" w:cs="Arial"/>
        </w:rPr>
        <w:t>on their decimal interest in the lease.</w:t>
      </w:r>
    </w:p>
    <w:p w14:paraId="03C38D1C" w14:textId="275DAEB8" w:rsidR="00380E43" w:rsidRPr="00C011AE" w:rsidRDefault="00380E43" w:rsidP="00464123">
      <w:pPr>
        <w:pStyle w:val="BodyText"/>
        <w:tabs>
          <w:tab w:val="left" w:pos="1260"/>
        </w:tabs>
        <w:spacing w:before="120" w:after="120" w:line="320" w:lineRule="atLeast"/>
        <w:jc w:val="both"/>
        <w:rPr>
          <w:rFonts w:ascii="Arial" w:hAnsi="Arial" w:cs="Arial"/>
          <w:iCs/>
        </w:rPr>
      </w:pPr>
      <w:r w:rsidRPr="00C011AE">
        <w:rPr>
          <w:rFonts w:ascii="Arial" w:hAnsi="Arial" w:cs="Arial"/>
          <w:iCs/>
        </w:rPr>
        <w:t xml:space="preserve">Mineral interests are commonly divided </w:t>
      </w:r>
      <w:r w:rsidR="00141CC8" w:rsidRPr="00C011AE">
        <w:rPr>
          <w:rFonts w:ascii="Arial" w:hAnsi="Arial" w:cs="Arial"/>
          <w:iCs/>
        </w:rPr>
        <w:t xml:space="preserve">into </w:t>
      </w:r>
      <w:r w:rsidRPr="00C011AE">
        <w:rPr>
          <w:rFonts w:ascii="Arial" w:hAnsi="Arial" w:cs="Arial"/>
          <w:iCs/>
        </w:rPr>
        <w:t>property ownership interest</w:t>
      </w:r>
      <w:r w:rsidR="00141CC8" w:rsidRPr="00C011AE">
        <w:rPr>
          <w:rFonts w:ascii="Arial" w:hAnsi="Arial" w:cs="Arial"/>
          <w:iCs/>
        </w:rPr>
        <w:t>s known as working interests, overriding interest</w:t>
      </w:r>
      <w:r w:rsidR="005B1D9B" w:rsidRPr="00C011AE">
        <w:rPr>
          <w:rFonts w:ascii="Arial" w:hAnsi="Arial" w:cs="Arial"/>
          <w:iCs/>
        </w:rPr>
        <w:t>s</w:t>
      </w:r>
      <w:r w:rsidR="00141CC8" w:rsidRPr="00C011AE">
        <w:rPr>
          <w:rFonts w:ascii="Arial" w:hAnsi="Arial" w:cs="Arial"/>
          <w:iCs/>
        </w:rPr>
        <w:t>, and</w:t>
      </w:r>
      <w:r w:rsidRPr="00C011AE">
        <w:rPr>
          <w:rFonts w:ascii="Arial" w:hAnsi="Arial" w:cs="Arial"/>
          <w:iCs/>
        </w:rPr>
        <w:t xml:space="preserve"> royalty interests.  The valuation of </w:t>
      </w:r>
      <w:r w:rsidR="00B335F6" w:rsidRPr="00C011AE">
        <w:rPr>
          <w:rFonts w:ascii="Arial" w:hAnsi="Arial" w:cs="Arial"/>
          <w:iCs/>
        </w:rPr>
        <w:t xml:space="preserve">each type of interest </w:t>
      </w:r>
      <w:r w:rsidRPr="00C011AE">
        <w:rPr>
          <w:rFonts w:ascii="Arial" w:hAnsi="Arial" w:cs="Arial"/>
          <w:iCs/>
        </w:rPr>
        <w:t>begins with the valuation of the producing well on the mineral lease</w:t>
      </w:r>
      <w:r w:rsidR="00D10FE3" w:rsidRPr="00C011AE">
        <w:rPr>
          <w:rFonts w:ascii="Arial" w:hAnsi="Arial" w:cs="Arial"/>
          <w:iCs/>
        </w:rPr>
        <w:t>.</w:t>
      </w:r>
      <w:r w:rsidRPr="00C011AE">
        <w:rPr>
          <w:rFonts w:ascii="Arial" w:hAnsi="Arial" w:cs="Arial"/>
          <w:iCs/>
        </w:rPr>
        <w:t xml:space="preserve"> </w:t>
      </w:r>
      <w:r w:rsidR="00D10FE3" w:rsidRPr="00C011AE">
        <w:rPr>
          <w:rFonts w:ascii="Arial" w:hAnsi="Arial" w:cs="Arial"/>
          <w:iCs/>
        </w:rPr>
        <w:t>T</w:t>
      </w:r>
      <w:r w:rsidRPr="00C011AE">
        <w:rPr>
          <w:rFonts w:ascii="Arial" w:hAnsi="Arial" w:cs="Arial"/>
          <w:iCs/>
        </w:rPr>
        <w:t xml:space="preserve">hat value is </w:t>
      </w:r>
      <w:r w:rsidR="00D10FE3" w:rsidRPr="00C011AE">
        <w:rPr>
          <w:rFonts w:ascii="Arial" w:hAnsi="Arial" w:cs="Arial"/>
          <w:iCs/>
        </w:rPr>
        <w:t xml:space="preserve">then </w:t>
      </w:r>
      <w:r w:rsidRPr="00C011AE">
        <w:rPr>
          <w:rFonts w:ascii="Arial" w:hAnsi="Arial" w:cs="Arial"/>
          <w:iCs/>
        </w:rPr>
        <w:t>allocated to the property ownership interests based on the decimal ownership value identified in the division orders for each lease.  It is the goal and purpose of the CAD to identify every producing mineral property within the district and estimate the market value of each property listed on the roll.</w:t>
      </w:r>
    </w:p>
    <w:p w14:paraId="521B46FE" w14:textId="77777777" w:rsidR="005B1D9B" w:rsidRPr="00C011AE" w:rsidRDefault="00380E43" w:rsidP="005B1D9B">
      <w:pPr>
        <w:pStyle w:val="Heading3"/>
        <w:spacing w:before="120" w:after="120" w:line="320" w:lineRule="atLeast"/>
        <w:jc w:val="left"/>
        <w:rPr>
          <w:rFonts w:ascii="Arial" w:hAnsi="Arial" w:cs="Arial"/>
          <w:bCs/>
          <w:i w:val="0"/>
          <w:iCs/>
          <w:sz w:val="24"/>
        </w:rPr>
      </w:pPr>
      <w:r w:rsidRPr="00C011AE">
        <w:rPr>
          <w:rFonts w:ascii="Arial" w:hAnsi="Arial" w:cs="Arial"/>
          <w:bCs/>
          <w:i w:val="0"/>
          <w:iCs/>
          <w:sz w:val="24"/>
        </w:rPr>
        <w:t>Appraisal Resources</w:t>
      </w:r>
    </w:p>
    <w:p w14:paraId="2F31375C" w14:textId="234BB817" w:rsidR="005B1D9B" w:rsidRPr="00C011AE" w:rsidRDefault="004049D0" w:rsidP="005B1D9B">
      <w:pPr>
        <w:rPr>
          <w:rFonts w:ascii="Arial" w:hAnsi="Arial" w:cs="Arial"/>
        </w:rPr>
      </w:pPr>
      <w:r w:rsidRPr="00C011AE">
        <w:rPr>
          <w:rFonts w:ascii="Arial" w:hAnsi="Arial" w:cs="Arial"/>
        </w:rPr>
        <w:t xml:space="preserve">Personnel </w:t>
      </w:r>
      <w:r w:rsidRPr="00C011AE">
        <w:rPr>
          <w:rFonts w:ascii="Arial" w:hAnsi="Arial" w:cs="Arial"/>
          <w:bCs/>
        </w:rPr>
        <w:t xml:space="preserve">– </w:t>
      </w:r>
      <w:r w:rsidRPr="00C011AE">
        <w:rPr>
          <w:rFonts w:ascii="Arial" w:hAnsi="Arial" w:cs="Arial"/>
        </w:rPr>
        <w:t>Wardlaw provides adequate personnel to meet all contract appraisal requirements.</w:t>
      </w:r>
    </w:p>
    <w:p w14:paraId="0AF2FB7C" w14:textId="100116E5" w:rsidR="00380E43" w:rsidRPr="00C011AE" w:rsidRDefault="00380E43" w:rsidP="005B1D9B">
      <w:pPr>
        <w:spacing w:before="120" w:after="120" w:line="320" w:lineRule="atLeast"/>
        <w:jc w:val="both"/>
        <w:rPr>
          <w:rFonts w:ascii="Arial" w:hAnsi="Arial" w:cs="Arial"/>
        </w:rPr>
      </w:pPr>
      <w:r w:rsidRPr="00C011AE">
        <w:rPr>
          <w:rFonts w:ascii="Arial" w:hAnsi="Arial" w:cs="Arial"/>
          <w:bCs/>
        </w:rPr>
        <w:t>Data</w:t>
      </w:r>
      <w:r w:rsidRPr="00C011AE">
        <w:rPr>
          <w:rFonts w:ascii="Arial" w:hAnsi="Arial" w:cs="Arial"/>
        </w:rPr>
        <w:t xml:space="preserve"> </w:t>
      </w:r>
      <w:r w:rsidR="004049D0" w:rsidRPr="00C011AE">
        <w:rPr>
          <w:rFonts w:ascii="Arial" w:hAnsi="Arial" w:cs="Arial"/>
          <w:bCs/>
        </w:rPr>
        <w:t xml:space="preserve">– </w:t>
      </w:r>
      <w:r w:rsidRPr="00C011AE">
        <w:rPr>
          <w:rFonts w:ascii="Arial" w:hAnsi="Arial" w:cs="Arial"/>
        </w:rPr>
        <w:t xml:space="preserve">A common set of production data for each mineral property account in </w:t>
      </w:r>
      <w:r w:rsidR="004D783D" w:rsidRPr="00C011AE">
        <w:rPr>
          <w:rFonts w:ascii="Arial" w:hAnsi="Arial" w:cs="Arial"/>
        </w:rPr>
        <w:t>each</w:t>
      </w:r>
      <w:r w:rsidRPr="00C011AE">
        <w:rPr>
          <w:rFonts w:ascii="Arial" w:hAnsi="Arial" w:cs="Arial"/>
        </w:rPr>
        <w:t xml:space="preserve"> CAD is collected from the Texas Railroad Commission Records and entered </w:t>
      </w:r>
      <w:r w:rsidR="004049D0" w:rsidRPr="00C011AE">
        <w:rPr>
          <w:rFonts w:ascii="Arial" w:hAnsi="Arial" w:cs="Arial"/>
        </w:rPr>
        <w:t>in</w:t>
      </w:r>
      <w:r w:rsidRPr="00C011AE">
        <w:rPr>
          <w:rFonts w:ascii="Arial" w:hAnsi="Arial" w:cs="Arial"/>
        </w:rPr>
        <w:t xml:space="preserve">to the appraisal firm’s </w:t>
      </w:r>
      <w:r w:rsidR="00CD0445" w:rsidRPr="00C011AE">
        <w:rPr>
          <w:rFonts w:ascii="Arial" w:hAnsi="Arial" w:cs="Arial"/>
        </w:rPr>
        <w:t>database</w:t>
      </w:r>
      <w:r w:rsidRPr="00C011AE">
        <w:rPr>
          <w:rFonts w:ascii="Arial" w:hAnsi="Arial" w:cs="Arial"/>
        </w:rPr>
        <w:t xml:space="preserve">.  The property characteristic data </w:t>
      </w:r>
      <w:r w:rsidR="006D4615" w:rsidRPr="00C011AE">
        <w:rPr>
          <w:rFonts w:ascii="Arial" w:hAnsi="Arial" w:cs="Arial"/>
        </w:rPr>
        <w:t>is</w:t>
      </w:r>
      <w:r w:rsidRPr="00C011AE">
        <w:rPr>
          <w:rFonts w:ascii="Arial" w:hAnsi="Arial" w:cs="Arial"/>
        </w:rPr>
        <w:t xml:space="preserve"> gleaned from the production data and drives the computer-assisted mineral property appraisal system.  Railroad Commission records are searched to </w:t>
      </w:r>
      <w:r w:rsidR="004049D0" w:rsidRPr="00C011AE">
        <w:rPr>
          <w:rFonts w:ascii="Arial" w:hAnsi="Arial" w:cs="Arial"/>
        </w:rPr>
        <w:t>identify</w:t>
      </w:r>
      <w:r w:rsidRPr="00C011AE">
        <w:rPr>
          <w:rFonts w:ascii="Arial" w:hAnsi="Arial" w:cs="Arial"/>
        </w:rPr>
        <w:t xml:space="preserve"> new leases as of January 1 of </w:t>
      </w:r>
      <w:r w:rsidR="006D4615" w:rsidRPr="00C011AE">
        <w:rPr>
          <w:rFonts w:ascii="Arial" w:hAnsi="Arial" w:cs="Arial"/>
        </w:rPr>
        <w:t>each</w:t>
      </w:r>
      <w:r w:rsidRPr="00C011AE">
        <w:rPr>
          <w:rFonts w:ascii="Arial" w:hAnsi="Arial" w:cs="Arial"/>
        </w:rPr>
        <w:t xml:space="preserve"> year</w:t>
      </w:r>
      <w:r w:rsidR="004049D0" w:rsidRPr="00C011AE">
        <w:rPr>
          <w:rFonts w:ascii="Arial" w:hAnsi="Arial" w:cs="Arial"/>
        </w:rPr>
        <w:t>,</w:t>
      </w:r>
      <w:r w:rsidRPr="00C011AE">
        <w:rPr>
          <w:rFonts w:ascii="Arial" w:hAnsi="Arial" w:cs="Arial"/>
        </w:rPr>
        <w:t xml:space="preserve"> and descriptive information is gathered to determine the l</w:t>
      </w:r>
      <w:r w:rsidR="004049D0" w:rsidRPr="00C011AE">
        <w:rPr>
          <w:rFonts w:ascii="Arial" w:hAnsi="Arial" w:cs="Arial"/>
        </w:rPr>
        <w:t>ease's</w:t>
      </w:r>
      <w:r w:rsidRPr="00C011AE">
        <w:rPr>
          <w:rFonts w:ascii="Arial" w:hAnsi="Arial" w:cs="Arial"/>
        </w:rPr>
        <w:t xml:space="preserve"> l</w:t>
      </w:r>
      <w:r w:rsidR="004049D0" w:rsidRPr="00C011AE">
        <w:rPr>
          <w:rFonts w:ascii="Arial" w:hAnsi="Arial" w:cs="Arial"/>
        </w:rPr>
        <w:t>ocation</w:t>
      </w:r>
      <w:r w:rsidRPr="00C011AE">
        <w:rPr>
          <w:rFonts w:ascii="Arial" w:hAnsi="Arial" w:cs="Arial"/>
        </w:rPr>
        <w:t xml:space="preserve"> within </w:t>
      </w:r>
      <w:r w:rsidR="004D783D" w:rsidRPr="00C011AE">
        <w:rPr>
          <w:rFonts w:ascii="Arial" w:hAnsi="Arial" w:cs="Arial"/>
        </w:rPr>
        <w:t>the</w:t>
      </w:r>
      <w:r w:rsidRPr="00C011AE">
        <w:rPr>
          <w:rFonts w:ascii="Arial" w:hAnsi="Arial" w:cs="Arial"/>
        </w:rPr>
        <w:t xml:space="preserve"> CAD jurisdictional boundaries.   Records are also reviewed for changes in production for existing wells, for abandoned wells, and for non-producing wells with salvage value for the equipment, tanks, and tubular goods.  Production history for each mineral lease is gathered from Enverus (formerly Drilling Info and HPDI), S&amp;P Global Commodity Insights (formerly IHS Markit / Petroleum Information), and the Texas Railroad Commission.  Division Orders on each lease are requested annually from lease operators and checked against the existing division orders for changes </w:t>
      </w:r>
      <w:r w:rsidR="002A61CA" w:rsidRPr="00C011AE">
        <w:rPr>
          <w:rFonts w:ascii="Arial" w:hAnsi="Arial" w:cs="Arial"/>
        </w:rPr>
        <w:t>as well as</w:t>
      </w:r>
      <w:r w:rsidRPr="00C011AE">
        <w:rPr>
          <w:rFonts w:ascii="Arial" w:hAnsi="Arial" w:cs="Arial"/>
        </w:rPr>
        <w:t xml:space="preserve"> for accuracy of owner name, address, and ownership percentage interest.  To help determine</w:t>
      </w:r>
      <w:r w:rsidR="007A05EA" w:rsidRPr="00C011AE">
        <w:rPr>
          <w:rFonts w:ascii="Arial" w:hAnsi="Arial" w:cs="Arial"/>
        </w:rPr>
        <w:t xml:space="preserve"> operating expense information on each active lease, lease-specific operating expenses are requested annua</w:t>
      </w:r>
      <w:r w:rsidR="00AD4623" w:rsidRPr="00C011AE">
        <w:rPr>
          <w:rFonts w:ascii="Arial" w:hAnsi="Arial" w:cs="Arial"/>
        </w:rPr>
        <w:t>l</w:t>
      </w:r>
      <w:r w:rsidR="007A05EA" w:rsidRPr="00C011AE">
        <w:rPr>
          <w:rFonts w:ascii="Arial" w:hAnsi="Arial" w:cs="Arial"/>
        </w:rPr>
        <w:t>l</w:t>
      </w:r>
      <w:r w:rsidR="00AD4623" w:rsidRPr="00C011AE">
        <w:rPr>
          <w:rFonts w:ascii="Arial" w:hAnsi="Arial" w:cs="Arial"/>
        </w:rPr>
        <w:t>y</w:t>
      </w:r>
      <w:r w:rsidR="007A05EA" w:rsidRPr="00C011AE">
        <w:rPr>
          <w:rFonts w:ascii="Arial" w:hAnsi="Arial" w:cs="Arial"/>
        </w:rPr>
        <w:t xml:space="preserve">. </w:t>
      </w:r>
      <w:r w:rsidR="004049D0" w:rsidRPr="00C011AE">
        <w:rPr>
          <w:rFonts w:ascii="Arial" w:hAnsi="Arial" w:cs="Arial"/>
        </w:rPr>
        <w:t>A Confidential</w:t>
      </w:r>
      <w:r w:rsidRPr="00C011AE">
        <w:rPr>
          <w:rFonts w:ascii="Arial" w:hAnsi="Arial" w:cs="Arial"/>
        </w:rPr>
        <w:t xml:space="preserve"> Lease Operating Expense Detail</w:t>
      </w:r>
      <w:r w:rsidR="007A05EA" w:rsidRPr="00C011AE">
        <w:rPr>
          <w:rFonts w:ascii="Arial" w:hAnsi="Arial" w:cs="Arial"/>
        </w:rPr>
        <w:t xml:space="preserve"> request letter</w:t>
      </w:r>
      <w:r w:rsidRPr="00C011AE">
        <w:rPr>
          <w:rFonts w:ascii="Arial" w:hAnsi="Arial" w:cs="Arial"/>
        </w:rPr>
        <w:t xml:space="preserve"> is </w:t>
      </w:r>
      <w:r w:rsidR="00E34E02" w:rsidRPr="00C011AE">
        <w:rPr>
          <w:rFonts w:ascii="Arial" w:hAnsi="Arial" w:cs="Arial"/>
        </w:rPr>
        <w:t>e-mailed</w:t>
      </w:r>
      <w:r w:rsidR="007A05EA" w:rsidRPr="00C011AE">
        <w:rPr>
          <w:rFonts w:ascii="Arial" w:hAnsi="Arial" w:cs="Arial"/>
        </w:rPr>
        <w:t xml:space="preserve"> or</w:t>
      </w:r>
      <w:r w:rsidR="00E34E02" w:rsidRPr="00C011AE">
        <w:rPr>
          <w:rFonts w:ascii="Arial" w:hAnsi="Arial" w:cs="Arial"/>
        </w:rPr>
        <w:t xml:space="preserve"> mailed to the operators or</w:t>
      </w:r>
      <w:r w:rsidR="00171B99" w:rsidRPr="00C011AE">
        <w:rPr>
          <w:rFonts w:ascii="Arial" w:hAnsi="Arial" w:cs="Arial"/>
        </w:rPr>
        <w:t xml:space="preserve"> agents representing operators </w:t>
      </w:r>
      <w:r w:rsidRPr="00C011AE">
        <w:rPr>
          <w:rFonts w:ascii="Arial" w:hAnsi="Arial" w:cs="Arial"/>
        </w:rPr>
        <w:t xml:space="preserve">requesting lease-specific operating expenses. </w:t>
      </w:r>
    </w:p>
    <w:p w14:paraId="13BBA132" w14:textId="77777777" w:rsidR="00342AF6" w:rsidRPr="00C011AE" w:rsidRDefault="00380E43" w:rsidP="00342AF6">
      <w:pPr>
        <w:pStyle w:val="ListParagraph"/>
        <w:numPr>
          <w:ilvl w:val="0"/>
          <w:numId w:val="27"/>
        </w:numPr>
        <w:spacing w:before="120" w:after="120" w:line="320" w:lineRule="atLeast"/>
        <w:jc w:val="both"/>
        <w:rPr>
          <w:rFonts w:ascii="Arial" w:hAnsi="Arial" w:cs="Arial"/>
        </w:rPr>
      </w:pPr>
      <w:r w:rsidRPr="00C011AE">
        <w:rPr>
          <w:rFonts w:ascii="Arial" w:hAnsi="Arial" w:cs="Arial"/>
        </w:rPr>
        <w:t>To assist with the economic parameters influencing these properties, general economic data is gathered for the valuation process.  The method of appraisal for minerals-in-place is the discounted cash flow analysis</w:t>
      </w:r>
      <w:r w:rsidR="004049D0" w:rsidRPr="00C011AE">
        <w:rPr>
          <w:rFonts w:ascii="Arial" w:hAnsi="Arial" w:cs="Arial"/>
        </w:rPr>
        <w:t>,</w:t>
      </w:r>
      <w:r w:rsidRPr="00C011AE">
        <w:rPr>
          <w:rFonts w:ascii="Arial" w:hAnsi="Arial" w:cs="Arial"/>
        </w:rPr>
        <w:t xml:space="preserve"> which </w:t>
      </w:r>
      <w:r w:rsidR="004049D0" w:rsidRPr="00C011AE">
        <w:rPr>
          <w:rFonts w:ascii="Arial" w:hAnsi="Arial" w:cs="Arial"/>
        </w:rPr>
        <w:t>evaluates</w:t>
      </w:r>
      <w:r w:rsidRPr="00C011AE">
        <w:rPr>
          <w:rFonts w:ascii="Arial" w:hAnsi="Arial" w:cs="Arial"/>
        </w:rPr>
        <w:t xml:space="preserve"> the net present value of future income derived from operating the lease.   Current interest rates, market rates of return</w:t>
      </w:r>
      <w:r w:rsidR="004049D0" w:rsidRPr="00C011AE">
        <w:rPr>
          <w:rFonts w:ascii="Arial" w:hAnsi="Arial" w:cs="Arial"/>
        </w:rPr>
        <w:t>,</w:t>
      </w:r>
      <w:r w:rsidRPr="00C011AE">
        <w:rPr>
          <w:rFonts w:ascii="Arial" w:hAnsi="Arial" w:cs="Arial"/>
        </w:rPr>
        <w:t xml:space="preserve"> and levels of </w:t>
      </w:r>
      <w:r w:rsidR="004049D0" w:rsidRPr="00C011AE">
        <w:rPr>
          <w:rFonts w:ascii="Arial" w:hAnsi="Arial" w:cs="Arial"/>
        </w:rPr>
        <w:t>investment</w:t>
      </w:r>
      <w:r w:rsidRPr="00C011AE">
        <w:rPr>
          <w:rFonts w:ascii="Arial" w:hAnsi="Arial" w:cs="Arial"/>
        </w:rPr>
        <w:t xml:space="preserve"> </w:t>
      </w:r>
      <w:r w:rsidR="004049D0" w:rsidRPr="00C011AE">
        <w:rPr>
          <w:rFonts w:ascii="Arial" w:hAnsi="Arial" w:cs="Arial"/>
        </w:rPr>
        <w:t>discounting</w:t>
      </w:r>
      <w:r w:rsidRPr="00C011AE">
        <w:rPr>
          <w:rFonts w:ascii="Arial" w:hAnsi="Arial" w:cs="Arial"/>
        </w:rPr>
        <w:t xml:space="preserve"> are factors to consider when evaluating the returns </w:t>
      </w:r>
      <w:r w:rsidR="004049D0" w:rsidRPr="00C011AE">
        <w:rPr>
          <w:rFonts w:ascii="Arial" w:hAnsi="Arial" w:cs="Arial"/>
        </w:rPr>
        <w:t>required</w:t>
      </w:r>
      <w:r w:rsidRPr="00C011AE">
        <w:rPr>
          <w:rFonts w:ascii="Arial" w:hAnsi="Arial" w:cs="Arial"/>
        </w:rPr>
        <w:t xml:space="preserve"> to attract investment capital for this type </w:t>
      </w:r>
      <w:r w:rsidR="004049D0" w:rsidRPr="00C011AE">
        <w:rPr>
          <w:rFonts w:ascii="Arial" w:hAnsi="Arial" w:cs="Arial"/>
        </w:rPr>
        <w:t xml:space="preserve">of </w:t>
      </w:r>
      <w:r w:rsidRPr="00C011AE">
        <w:rPr>
          <w:rFonts w:ascii="Arial" w:hAnsi="Arial" w:cs="Arial"/>
        </w:rPr>
        <w:t xml:space="preserve">property.   </w:t>
      </w:r>
      <w:r w:rsidR="00742653" w:rsidRPr="00C011AE">
        <w:rPr>
          <w:rFonts w:ascii="Arial" w:hAnsi="Arial" w:cs="Arial"/>
        </w:rPr>
        <w:t>The annual c</w:t>
      </w:r>
      <w:r w:rsidR="00A9774B" w:rsidRPr="00C011AE">
        <w:rPr>
          <w:rFonts w:ascii="Arial" w:hAnsi="Arial" w:cs="Arial"/>
        </w:rPr>
        <w:t>apitalization rates</w:t>
      </w:r>
      <w:r w:rsidRPr="00C011AE">
        <w:rPr>
          <w:rFonts w:ascii="Arial" w:hAnsi="Arial" w:cs="Arial"/>
        </w:rPr>
        <w:t xml:space="preserve"> are </w:t>
      </w:r>
      <w:r w:rsidR="00742653" w:rsidRPr="00C011AE">
        <w:rPr>
          <w:rFonts w:ascii="Arial" w:hAnsi="Arial" w:cs="Arial"/>
        </w:rPr>
        <w:t>calculated</w:t>
      </w:r>
      <w:r w:rsidR="002E55CC" w:rsidRPr="00C011AE">
        <w:rPr>
          <w:rFonts w:ascii="Arial" w:hAnsi="Arial" w:cs="Arial"/>
        </w:rPr>
        <w:t xml:space="preserve"> using the </w:t>
      </w:r>
      <w:r w:rsidR="00A3349C" w:rsidRPr="00C011AE">
        <w:rPr>
          <w:rFonts w:ascii="Arial" w:hAnsi="Arial" w:cs="Arial"/>
        </w:rPr>
        <w:t>“Manual</w:t>
      </w:r>
      <w:r w:rsidR="002E55CC" w:rsidRPr="00C011AE">
        <w:rPr>
          <w:rFonts w:ascii="Arial" w:hAnsi="Arial" w:cs="Arial"/>
        </w:rPr>
        <w:t xml:space="preserve"> for Discounting Oil and Gas Income” as developed by the Texas Comptroller’s Office.</w:t>
      </w:r>
      <w:r w:rsidR="00742653" w:rsidRPr="00C011AE">
        <w:rPr>
          <w:rFonts w:ascii="Arial" w:hAnsi="Arial" w:cs="Arial"/>
        </w:rPr>
        <w:t xml:space="preserve"> </w:t>
      </w:r>
      <w:r w:rsidR="0056310A" w:rsidRPr="00C011AE">
        <w:rPr>
          <w:rFonts w:ascii="Arial" w:hAnsi="Arial" w:cs="Arial"/>
        </w:rPr>
        <w:t xml:space="preserve">Data </w:t>
      </w:r>
      <w:r w:rsidR="004049D0" w:rsidRPr="00C011AE">
        <w:rPr>
          <w:rFonts w:ascii="Arial" w:hAnsi="Arial" w:cs="Arial"/>
        </w:rPr>
        <w:t>are</w:t>
      </w:r>
      <w:r w:rsidR="0056310A" w:rsidRPr="00C011AE">
        <w:rPr>
          <w:rFonts w:ascii="Arial" w:hAnsi="Arial" w:cs="Arial"/>
        </w:rPr>
        <w:t xml:space="preserve"> obtained from </w:t>
      </w:r>
      <w:r w:rsidRPr="00C011AE">
        <w:rPr>
          <w:rFonts w:ascii="Arial" w:hAnsi="Arial" w:cs="Arial"/>
        </w:rPr>
        <w:t>the Kroll Cost of Capital Navigator (formerly the Duff &amp; Phelps Valuation Handbook and Ibbotson’s SBBI Valuation Editi</w:t>
      </w:r>
      <w:r w:rsidR="00742653" w:rsidRPr="00C011AE">
        <w:rPr>
          <w:rFonts w:ascii="Arial" w:hAnsi="Arial" w:cs="Arial"/>
        </w:rPr>
        <w:t xml:space="preserve">on), </w:t>
      </w:r>
      <w:r w:rsidR="004049D0" w:rsidRPr="00C011AE">
        <w:rPr>
          <w:rFonts w:ascii="Arial" w:hAnsi="Arial" w:cs="Arial"/>
        </w:rPr>
        <w:t xml:space="preserve">the </w:t>
      </w:r>
      <w:r w:rsidR="00742653" w:rsidRPr="00C011AE">
        <w:rPr>
          <w:rFonts w:ascii="Arial" w:hAnsi="Arial" w:cs="Arial"/>
        </w:rPr>
        <w:t xml:space="preserve">Wall </w:t>
      </w:r>
      <w:r w:rsidR="00742653" w:rsidRPr="00C011AE">
        <w:rPr>
          <w:rFonts w:ascii="Arial" w:hAnsi="Arial" w:cs="Arial"/>
        </w:rPr>
        <w:lastRenderedPageBreak/>
        <w:t>Street Jour</w:t>
      </w:r>
      <w:r w:rsidR="002E55CC" w:rsidRPr="00C011AE">
        <w:rPr>
          <w:rFonts w:ascii="Arial" w:hAnsi="Arial" w:cs="Arial"/>
        </w:rPr>
        <w:t xml:space="preserve">nal, </w:t>
      </w:r>
      <w:r w:rsidR="004049D0" w:rsidRPr="00C011AE">
        <w:rPr>
          <w:rFonts w:ascii="Arial" w:hAnsi="Arial" w:cs="Arial"/>
        </w:rPr>
        <w:t xml:space="preserve">the </w:t>
      </w:r>
      <w:r w:rsidR="002E55CC" w:rsidRPr="00C011AE">
        <w:rPr>
          <w:rFonts w:ascii="Arial" w:hAnsi="Arial" w:cs="Arial"/>
        </w:rPr>
        <w:t>Standard &amp; Poor’s</w:t>
      </w:r>
      <w:r w:rsidR="00742653" w:rsidRPr="00C011AE">
        <w:rPr>
          <w:rFonts w:ascii="Arial" w:hAnsi="Arial" w:cs="Arial"/>
        </w:rPr>
        <w:t xml:space="preserve"> Bond Guide</w:t>
      </w:r>
      <w:r w:rsidRPr="00C011AE">
        <w:rPr>
          <w:rFonts w:ascii="Arial" w:hAnsi="Arial" w:cs="Arial"/>
        </w:rPr>
        <w:t>, and Value Line Investment Survey “Ratings and Reports”.</w:t>
      </w:r>
    </w:p>
    <w:p w14:paraId="5B7C898E" w14:textId="77777777" w:rsidR="00342AF6" w:rsidRPr="00C011AE" w:rsidRDefault="00342AF6" w:rsidP="00342AF6">
      <w:pPr>
        <w:spacing w:before="120" w:after="120" w:line="320" w:lineRule="atLeast"/>
        <w:jc w:val="both"/>
        <w:rPr>
          <w:rFonts w:ascii="Arial" w:hAnsi="Arial" w:cs="Arial"/>
        </w:rPr>
      </w:pPr>
    </w:p>
    <w:p w14:paraId="390B36FD" w14:textId="77777777" w:rsidR="00342AF6" w:rsidRPr="00C011AE" w:rsidRDefault="00342AF6" w:rsidP="00342AF6">
      <w:pPr>
        <w:pStyle w:val="ListParagraph"/>
        <w:numPr>
          <w:ilvl w:val="0"/>
          <w:numId w:val="27"/>
        </w:numPr>
        <w:spacing w:before="120" w:after="120" w:line="320" w:lineRule="atLeast"/>
        <w:ind w:left="0" w:hanging="180"/>
        <w:jc w:val="both"/>
        <w:rPr>
          <w:rFonts w:ascii="Arial" w:hAnsi="Arial" w:cs="Arial"/>
          <w:b/>
        </w:rPr>
      </w:pPr>
      <w:r w:rsidRPr="00C011AE">
        <w:rPr>
          <w:rFonts w:ascii="Arial" w:hAnsi="Arial" w:cs="Arial"/>
          <w:b/>
          <w:iCs/>
          <w:sz w:val="24"/>
        </w:rPr>
        <w:t>Valuation and Statistical Analysis (model calibration)</w:t>
      </w:r>
    </w:p>
    <w:p w14:paraId="3F41AE86" w14:textId="55D115F2" w:rsidR="00490168" w:rsidRPr="00C011AE" w:rsidRDefault="00380E43" w:rsidP="004049D0">
      <w:pPr>
        <w:spacing w:before="120" w:after="120" w:line="320" w:lineRule="atLeast"/>
        <w:jc w:val="both"/>
        <w:rPr>
          <w:rFonts w:ascii="Arial" w:hAnsi="Arial" w:cs="Arial"/>
          <w:i/>
          <w:iCs/>
        </w:rPr>
      </w:pPr>
      <w:r w:rsidRPr="00C011AE">
        <w:rPr>
          <w:rFonts w:ascii="Arial" w:hAnsi="Arial" w:cs="Arial"/>
          <w:i/>
          <w:iCs/>
          <w:sz w:val="24"/>
        </w:rPr>
        <w:t>Pricing, Operating Expenses</w:t>
      </w:r>
      <w:r w:rsidR="00490168" w:rsidRPr="00C011AE">
        <w:rPr>
          <w:rFonts w:ascii="Arial" w:hAnsi="Arial" w:cs="Arial"/>
          <w:i/>
          <w:iCs/>
          <w:sz w:val="24"/>
        </w:rPr>
        <w:t>,</w:t>
      </w:r>
      <w:r w:rsidRPr="00C011AE">
        <w:rPr>
          <w:rFonts w:ascii="Arial" w:hAnsi="Arial" w:cs="Arial"/>
          <w:i/>
          <w:iCs/>
          <w:sz w:val="24"/>
        </w:rPr>
        <w:t xml:space="preserve"> and Reserve Analysis  </w:t>
      </w:r>
    </w:p>
    <w:p w14:paraId="68265866" w14:textId="77777777" w:rsidR="00342AF6" w:rsidRPr="00C011AE" w:rsidRDefault="00380E43" w:rsidP="00342AF6">
      <w:pPr>
        <w:spacing w:before="120" w:after="120" w:line="320" w:lineRule="atLeast"/>
        <w:jc w:val="both"/>
        <w:rPr>
          <w:rFonts w:ascii="Arial" w:hAnsi="Arial" w:cs="Arial"/>
        </w:rPr>
      </w:pPr>
      <w:r w:rsidRPr="00C011AE">
        <w:rPr>
          <w:rFonts w:ascii="Arial" w:hAnsi="Arial" w:cs="Arial"/>
        </w:rPr>
        <w:t xml:space="preserve">Crude oil and natural gas prices are required information </w:t>
      </w:r>
      <w:r w:rsidR="00342AF6" w:rsidRPr="00C011AE">
        <w:rPr>
          <w:rFonts w:ascii="Arial" w:hAnsi="Arial" w:cs="Arial"/>
        </w:rPr>
        <w:t>for</w:t>
      </w:r>
      <w:r w:rsidRPr="00C011AE">
        <w:rPr>
          <w:rFonts w:ascii="Arial" w:hAnsi="Arial" w:cs="Arial"/>
        </w:rPr>
        <w:t xml:space="preserve"> the valuation of mineral property because the</w:t>
      </w:r>
      <w:r w:rsidR="00342AF6" w:rsidRPr="00C011AE">
        <w:rPr>
          <w:rFonts w:ascii="Arial" w:hAnsi="Arial" w:cs="Arial"/>
        </w:rPr>
        <w:t>y</w:t>
      </w:r>
      <w:r w:rsidRPr="00C011AE">
        <w:rPr>
          <w:rFonts w:ascii="Arial" w:hAnsi="Arial" w:cs="Arial"/>
        </w:rPr>
        <w:t xml:space="preserve"> are necessary to determine income </w:t>
      </w:r>
      <w:r w:rsidR="00342AF6" w:rsidRPr="00C011AE">
        <w:rPr>
          <w:rFonts w:ascii="Arial" w:hAnsi="Arial" w:cs="Arial"/>
        </w:rPr>
        <w:t>from</w:t>
      </w:r>
      <w:r w:rsidRPr="00C011AE">
        <w:rPr>
          <w:rFonts w:ascii="Arial" w:hAnsi="Arial" w:cs="Arial"/>
        </w:rPr>
        <w:t xml:space="preserve"> the lease and the economic life of production from the lease.   The crude oil and natural gas sales price</w:t>
      </w:r>
      <w:r w:rsidR="00342AF6" w:rsidRPr="00C011AE">
        <w:rPr>
          <w:rFonts w:ascii="Arial" w:hAnsi="Arial" w:cs="Arial"/>
        </w:rPr>
        <w:t>s</w:t>
      </w:r>
      <w:r w:rsidRPr="00C011AE">
        <w:rPr>
          <w:rFonts w:ascii="Arial" w:hAnsi="Arial" w:cs="Arial"/>
        </w:rPr>
        <w:t xml:space="preserve"> used for the first year of the appraisal analysis </w:t>
      </w:r>
      <w:r w:rsidR="00342AF6" w:rsidRPr="00C011AE">
        <w:rPr>
          <w:rFonts w:ascii="Arial" w:hAnsi="Arial" w:cs="Arial"/>
        </w:rPr>
        <w:t>are</w:t>
      </w:r>
      <w:r w:rsidRPr="00C011AE">
        <w:rPr>
          <w:rFonts w:ascii="Arial" w:hAnsi="Arial" w:cs="Arial"/>
        </w:rPr>
        <w:t xml:space="preserve"> based on the previous year’s average price multiplied by t</w:t>
      </w:r>
      <w:r w:rsidR="00A9774B" w:rsidRPr="00C011AE">
        <w:rPr>
          <w:rFonts w:ascii="Arial" w:hAnsi="Arial" w:cs="Arial"/>
        </w:rPr>
        <w:t>he Price Adjustment Factor (PAF</w:t>
      </w:r>
      <w:r w:rsidR="008E132D" w:rsidRPr="00C011AE">
        <w:rPr>
          <w:rFonts w:ascii="Arial" w:hAnsi="Arial" w:cs="Arial"/>
        </w:rPr>
        <w:t xml:space="preserve">).  The prices are then </w:t>
      </w:r>
      <w:r w:rsidRPr="00C011AE">
        <w:rPr>
          <w:rFonts w:ascii="Arial" w:hAnsi="Arial" w:cs="Arial"/>
        </w:rPr>
        <w:t>esc</w:t>
      </w:r>
      <w:r w:rsidR="00A9774B" w:rsidRPr="00C011AE">
        <w:rPr>
          <w:rFonts w:ascii="Arial" w:hAnsi="Arial" w:cs="Arial"/>
        </w:rPr>
        <w:t xml:space="preserve">alated or de-escalated </w:t>
      </w:r>
      <w:r w:rsidR="00246C33" w:rsidRPr="00C011AE">
        <w:rPr>
          <w:rFonts w:ascii="Arial" w:hAnsi="Arial" w:cs="Arial"/>
        </w:rPr>
        <w:t>for five (5)</w:t>
      </w:r>
      <w:r w:rsidR="00A9774B" w:rsidRPr="00C011AE">
        <w:rPr>
          <w:rFonts w:ascii="Arial" w:hAnsi="Arial" w:cs="Arial"/>
        </w:rPr>
        <w:t xml:space="preserve"> years</w:t>
      </w:r>
      <w:r w:rsidRPr="00C011AE">
        <w:rPr>
          <w:rFonts w:ascii="Arial" w:hAnsi="Arial" w:cs="Arial"/>
        </w:rPr>
        <w:t xml:space="preserve"> </w:t>
      </w:r>
      <w:r w:rsidR="008E132D" w:rsidRPr="00C011AE">
        <w:rPr>
          <w:rFonts w:ascii="Arial" w:hAnsi="Arial" w:cs="Arial"/>
        </w:rPr>
        <w:t xml:space="preserve">according to the Texas Property Tax Code Sec. 23.175 Section (a).  </w:t>
      </w:r>
      <w:r w:rsidRPr="00C011AE">
        <w:rPr>
          <w:rFonts w:ascii="Arial" w:hAnsi="Arial" w:cs="Arial"/>
        </w:rPr>
        <w:t>Lease operating expenses are estimated b</w:t>
      </w:r>
      <w:r w:rsidR="000E5C63" w:rsidRPr="00C011AE">
        <w:rPr>
          <w:rFonts w:ascii="Arial" w:hAnsi="Arial" w:cs="Arial"/>
        </w:rPr>
        <w:t>ased on rendered information,</w:t>
      </w:r>
      <w:r w:rsidRPr="00C011AE">
        <w:rPr>
          <w:rFonts w:ascii="Arial" w:hAnsi="Arial" w:cs="Arial"/>
        </w:rPr>
        <w:t xml:space="preserve"> actual operating cost</w:t>
      </w:r>
      <w:r w:rsidR="00342AF6" w:rsidRPr="00C011AE">
        <w:rPr>
          <w:rFonts w:ascii="Arial" w:hAnsi="Arial" w:cs="Arial"/>
        </w:rPr>
        <w:t>s</w:t>
      </w:r>
      <w:r w:rsidRPr="00C011AE">
        <w:rPr>
          <w:rFonts w:ascii="Arial" w:hAnsi="Arial" w:cs="Arial"/>
        </w:rPr>
        <w:t xml:space="preserve"> and expense</w:t>
      </w:r>
      <w:r w:rsidR="00246C33" w:rsidRPr="00C011AE">
        <w:rPr>
          <w:rFonts w:ascii="Arial" w:hAnsi="Arial" w:cs="Arial"/>
        </w:rPr>
        <w:t xml:space="preserve">s, and </w:t>
      </w:r>
      <w:r w:rsidRPr="00C011AE">
        <w:rPr>
          <w:rFonts w:ascii="Arial" w:hAnsi="Arial" w:cs="Arial"/>
        </w:rPr>
        <w:t xml:space="preserve">from surveys of lease operators in </w:t>
      </w:r>
      <w:r w:rsidR="004D783D" w:rsidRPr="00C011AE">
        <w:rPr>
          <w:rFonts w:ascii="Arial" w:hAnsi="Arial" w:cs="Arial"/>
        </w:rPr>
        <w:t>the</w:t>
      </w:r>
      <w:r w:rsidRPr="00C011AE">
        <w:rPr>
          <w:rFonts w:ascii="Arial" w:hAnsi="Arial" w:cs="Arial"/>
        </w:rPr>
        <w:t xml:space="preserve"> CAD.  The January 1 production starting rate is based on the actual production rate or upon a projection of past average production.  The past oil and gas production history of the lease is analyzed to estimate the future rate of production decline of the lease.  Other considerations include past lease expenses and recent operating parameters such as water production, workover operations, and secondary recovery efforts.  Current operating income and expenses for the lease are calculated in a discounted cash flow model used by the appraiser to evaluate and estimate the net present value of producing oil and gas income from the lease. </w:t>
      </w:r>
      <w:r w:rsidR="00246C33" w:rsidRPr="00C011AE">
        <w:rPr>
          <w:rFonts w:ascii="Arial" w:hAnsi="Arial" w:cs="Arial"/>
        </w:rPr>
        <w:t xml:space="preserve">Discount </w:t>
      </w:r>
      <w:r w:rsidRPr="00C011AE">
        <w:rPr>
          <w:rFonts w:ascii="Arial" w:hAnsi="Arial" w:cs="Arial"/>
        </w:rPr>
        <w:t xml:space="preserve">rates </w:t>
      </w:r>
      <w:r w:rsidR="00342AF6" w:rsidRPr="00C011AE">
        <w:rPr>
          <w:rFonts w:ascii="Arial" w:hAnsi="Arial" w:cs="Arial"/>
        </w:rPr>
        <w:t xml:space="preserve">are </w:t>
      </w:r>
      <w:r w:rsidR="00246C33" w:rsidRPr="00C011AE">
        <w:rPr>
          <w:rFonts w:ascii="Arial" w:hAnsi="Arial" w:cs="Arial"/>
        </w:rPr>
        <w:t xml:space="preserve">established </w:t>
      </w:r>
      <w:r w:rsidRPr="00C011AE">
        <w:rPr>
          <w:rFonts w:ascii="Arial" w:hAnsi="Arial" w:cs="Arial"/>
        </w:rPr>
        <w:t xml:space="preserve">for each lease based upon the particular risks inherent </w:t>
      </w:r>
      <w:r w:rsidR="00342AF6" w:rsidRPr="00C011AE">
        <w:rPr>
          <w:rFonts w:ascii="Arial" w:hAnsi="Arial" w:cs="Arial"/>
        </w:rPr>
        <w:t>in the</w:t>
      </w:r>
      <w:r w:rsidRPr="00C011AE">
        <w:rPr>
          <w:rFonts w:ascii="Arial" w:hAnsi="Arial" w:cs="Arial"/>
        </w:rPr>
        <w:t xml:space="preserve"> production of oil and gas from that property.  </w:t>
      </w:r>
      <w:r w:rsidR="00342AF6" w:rsidRPr="00C011AE">
        <w:rPr>
          <w:rFonts w:ascii="Arial" w:hAnsi="Arial" w:cs="Arial"/>
        </w:rPr>
        <w:t>The discounted cash flow model allows the appraiser to establish the current market value of the lease based on the discounted value of the estimated future recoverable reserves. This methodology is approved and recommended by the Property Tax Division of the Comptroller’s Office and is recognized by industry standards as a method of appraisal. The appraisal firm has used the discounted cash flow model to estimate the market value of each lease in each CAD.</w:t>
      </w:r>
    </w:p>
    <w:p w14:paraId="7032D513" w14:textId="7A7B52D9" w:rsidR="00380E43" w:rsidRPr="00C011AE" w:rsidRDefault="00380E43" w:rsidP="00342AF6">
      <w:pPr>
        <w:spacing w:before="120" w:after="120" w:line="320" w:lineRule="atLeast"/>
        <w:jc w:val="both"/>
        <w:rPr>
          <w:rFonts w:ascii="Arial" w:hAnsi="Arial" w:cs="Arial"/>
        </w:rPr>
      </w:pPr>
      <w:r w:rsidRPr="00C011AE">
        <w:rPr>
          <w:rFonts w:ascii="Arial" w:hAnsi="Arial" w:cs="Arial"/>
          <w:i/>
          <w:iCs/>
          <w:sz w:val="24"/>
        </w:rPr>
        <w:t xml:space="preserve">Value Review Procedures  </w:t>
      </w:r>
    </w:p>
    <w:p w14:paraId="50789A7E" w14:textId="33626578" w:rsidR="00380E43" w:rsidRPr="00C011AE" w:rsidRDefault="00380E43" w:rsidP="00CD0445">
      <w:pPr>
        <w:spacing w:before="120" w:after="120" w:line="320" w:lineRule="atLeast"/>
        <w:jc w:val="both"/>
        <w:rPr>
          <w:rFonts w:ascii="Arial" w:hAnsi="Arial" w:cs="Arial"/>
        </w:rPr>
      </w:pPr>
      <w:r w:rsidRPr="00C011AE">
        <w:rPr>
          <w:rFonts w:ascii="Arial" w:hAnsi="Arial" w:cs="Arial"/>
        </w:rPr>
        <w:t xml:space="preserve">The method of value review for this type of property is based on </w:t>
      </w:r>
      <w:r w:rsidR="00342AF6" w:rsidRPr="00C011AE">
        <w:rPr>
          <w:rFonts w:ascii="Arial" w:hAnsi="Arial" w:cs="Arial"/>
        </w:rPr>
        <w:t>an assessment of factors estimated in the discounted cash flow analysis,</w:t>
      </w:r>
      <w:r w:rsidRPr="00C011AE">
        <w:rPr>
          <w:rFonts w:ascii="Arial" w:hAnsi="Arial" w:cs="Arial"/>
        </w:rPr>
        <w:t xml:space="preserve"> such as the discount rate, </w:t>
      </w:r>
      <w:r w:rsidR="005F7770" w:rsidRPr="00C011AE">
        <w:rPr>
          <w:rFonts w:ascii="Arial" w:hAnsi="Arial" w:cs="Arial"/>
        </w:rPr>
        <w:t xml:space="preserve">production, </w:t>
      </w:r>
      <w:r w:rsidRPr="00C011AE">
        <w:rPr>
          <w:rFonts w:ascii="Arial" w:hAnsi="Arial" w:cs="Arial"/>
        </w:rPr>
        <w:t xml:space="preserve">product prices, and operating expenses.   Evaluation and verification of these economic </w:t>
      </w:r>
      <w:r w:rsidR="00342AF6" w:rsidRPr="00C011AE">
        <w:rPr>
          <w:rFonts w:ascii="Arial" w:hAnsi="Arial" w:cs="Arial"/>
        </w:rPr>
        <w:t>factors, as to their validity in current economic times and based on current capital requirements for investment in this type of property, are reconfirmed</w:t>
      </w:r>
      <w:r w:rsidRPr="00C011AE">
        <w:rPr>
          <w:rFonts w:ascii="Arial" w:hAnsi="Arial" w:cs="Arial"/>
        </w:rPr>
        <w:t xml:space="preserve"> and reviewed for reasonableness.  </w:t>
      </w:r>
      <w:r w:rsidR="00342AF6" w:rsidRPr="00C011AE">
        <w:rPr>
          <w:rFonts w:ascii="Arial" w:hAnsi="Arial" w:cs="Arial"/>
        </w:rPr>
        <w:t>Sales of mineral properties are considered, but adequate sales data are usually unavailable</w:t>
      </w:r>
      <w:r w:rsidR="005F7770" w:rsidRPr="00C011AE">
        <w:rPr>
          <w:rFonts w:ascii="Arial" w:hAnsi="Arial" w:cs="Arial"/>
        </w:rPr>
        <w:t>.</w:t>
      </w:r>
      <w:r w:rsidR="00342AF6" w:rsidRPr="00C011AE">
        <w:rPr>
          <w:rFonts w:ascii="Arial" w:hAnsi="Arial" w:cs="Arial"/>
        </w:rPr>
        <w:t xml:space="preserve"> The market for this type of property is neither active nor efficient. There are very few participants, and pricing information is mostly confidential. There is no source </w:t>
      </w:r>
      <w:r w:rsidR="005F7770" w:rsidRPr="00C011AE">
        <w:rPr>
          <w:rFonts w:ascii="Arial" w:hAnsi="Arial" w:cs="Arial"/>
        </w:rPr>
        <w:t>to</w:t>
      </w:r>
      <w:r w:rsidR="00342AF6" w:rsidRPr="00C011AE">
        <w:rPr>
          <w:rFonts w:ascii="Arial" w:hAnsi="Arial" w:cs="Arial"/>
        </w:rPr>
        <w:t xml:space="preserve"> track these transactions, and property owners are reluctant to disclose market information </w:t>
      </w:r>
      <w:r w:rsidR="005F7770" w:rsidRPr="00C011AE">
        <w:rPr>
          <w:rFonts w:ascii="Arial" w:hAnsi="Arial" w:cs="Arial"/>
        </w:rPr>
        <w:t>about</w:t>
      </w:r>
      <w:r w:rsidR="00342AF6" w:rsidRPr="00C011AE">
        <w:rPr>
          <w:rFonts w:ascii="Arial" w:hAnsi="Arial" w:cs="Arial"/>
        </w:rPr>
        <w:t xml:space="preserve"> prices paid or transaction </w:t>
      </w:r>
      <w:r w:rsidR="005F7770" w:rsidRPr="00C011AE">
        <w:rPr>
          <w:rFonts w:ascii="Arial" w:hAnsi="Arial" w:cs="Arial"/>
        </w:rPr>
        <w:t>terms, making it difficult to confirm sales.</w:t>
      </w:r>
      <w:r w:rsidR="00342AF6" w:rsidRPr="00C011AE">
        <w:rPr>
          <w:rFonts w:ascii="Arial" w:hAnsi="Arial" w:cs="Arial"/>
        </w:rPr>
        <w:t xml:space="preserve"> Because of the lack of market sales for mineral properties, appraised values are regularly compared to similar properties within the same production field, exploration formation field, strata of strata, or production history and expense level. </w:t>
      </w:r>
      <w:r w:rsidR="005F7770" w:rsidRPr="00C011AE">
        <w:rPr>
          <w:rFonts w:ascii="Arial" w:hAnsi="Arial" w:cs="Arial"/>
        </w:rPr>
        <w:t xml:space="preserve">The State Comptroller of Public Accounts' property value </w:t>
      </w:r>
      <w:r w:rsidRPr="00C011AE">
        <w:rPr>
          <w:rFonts w:ascii="Arial" w:hAnsi="Arial" w:cs="Arial"/>
        </w:rPr>
        <w:t xml:space="preserve">Ratio studies </w:t>
      </w:r>
      <w:r w:rsidR="005F7770" w:rsidRPr="00C011AE">
        <w:rPr>
          <w:rFonts w:ascii="Arial" w:hAnsi="Arial" w:cs="Arial"/>
        </w:rPr>
        <w:t>serve as</w:t>
      </w:r>
      <w:r w:rsidRPr="00C011AE">
        <w:rPr>
          <w:rFonts w:ascii="Arial" w:hAnsi="Arial" w:cs="Arial"/>
        </w:rPr>
        <w:t xml:space="preserve"> a </w:t>
      </w:r>
      <w:r w:rsidR="005F7770" w:rsidRPr="00C011AE">
        <w:rPr>
          <w:rFonts w:ascii="Arial" w:hAnsi="Arial" w:cs="Arial"/>
        </w:rPr>
        <w:t>basis</w:t>
      </w:r>
      <w:r w:rsidRPr="00C011AE">
        <w:rPr>
          <w:rFonts w:ascii="Arial" w:hAnsi="Arial" w:cs="Arial"/>
        </w:rPr>
        <w:t xml:space="preserve"> </w:t>
      </w:r>
      <w:r w:rsidR="005F7770" w:rsidRPr="00C011AE">
        <w:rPr>
          <w:rFonts w:ascii="Arial" w:hAnsi="Arial" w:cs="Arial"/>
        </w:rPr>
        <w:t>for</w:t>
      </w:r>
      <w:r w:rsidRPr="00C011AE">
        <w:rPr>
          <w:rFonts w:ascii="Arial" w:hAnsi="Arial" w:cs="Arial"/>
        </w:rPr>
        <w:t xml:space="preserve"> comparison </w:t>
      </w:r>
      <w:r w:rsidR="005F7770" w:rsidRPr="00C011AE">
        <w:rPr>
          <w:rFonts w:ascii="Arial" w:hAnsi="Arial" w:cs="Arial"/>
        </w:rPr>
        <w:t>of</w:t>
      </w:r>
      <w:r w:rsidR="00342AF6" w:rsidRPr="00C011AE">
        <w:rPr>
          <w:rFonts w:ascii="Arial" w:hAnsi="Arial" w:cs="Arial"/>
        </w:rPr>
        <w:t xml:space="preserve"> the</w:t>
      </w:r>
      <w:r w:rsidRPr="00C011AE">
        <w:rPr>
          <w:rFonts w:ascii="Arial" w:hAnsi="Arial" w:cs="Arial"/>
        </w:rPr>
        <w:t xml:space="preserve"> evaluation level </w:t>
      </w:r>
      <w:r w:rsidRPr="00C011AE">
        <w:rPr>
          <w:rFonts w:ascii="Arial" w:hAnsi="Arial" w:cs="Arial"/>
        </w:rPr>
        <w:lastRenderedPageBreak/>
        <w:t xml:space="preserve">and uniformity of appraisal.  When market sales are available the ratio study is based on a comparison of the appraised value to the sale price.  For </w:t>
      </w:r>
      <w:r w:rsidR="005F7770" w:rsidRPr="00C011AE">
        <w:rPr>
          <w:rFonts w:ascii="Arial" w:hAnsi="Arial" w:cs="Arial"/>
        </w:rPr>
        <w:t xml:space="preserve">a </w:t>
      </w:r>
      <w:r w:rsidRPr="00C011AE">
        <w:rPr>
          <w:rFonts w:ascii="Arial" w:hAnsi="Arial" w:cs="Arial"/>
        </w:rPr>
        <w:t xml:space="preserve">mineral </w:t>
      </w:r>
      <w:r w:rsidR="005F7770" w:rsidRPr="00C011AE">
        <w:rPr>
          <w:rFonts w:ascii="Arial" w:hAnsi="Arial" w:cs="Arial"/>
        </w:rPr>
        <w:t>property that lacks available market sales, a ratio study compares another appraisal opinion with the district opinion to determine the level and uniformity of the appraisal.</w:t>
      </w:r>
      <w:r w:rsidRPr="00C011AE">
        <w:rPr>
          <w:rFonts w:ascii="Arial" w:hAnsi="Arial" w:cs="Arial"/>
        </w:rPr>
        <w:t xml:space="preserve">  The </w:t>
      </w:r>
      <w:r w:rsidR="005F7770" w:rsidRPr="00C011AE">
        <w:rPr>
          <w:rFonts w:ascii="Arial" w:hAnsi="Arial" w:cs="Arial"/>
        </w:rPr>
        <w:t xml:space="preserve">Comptroller’s </w:t>
      </w:r>
      <w:r w:rsidRPr="00C011AE">
        <w:rPr>
          <w:rFonts w:ascii="Arial" w:hAnsi="Arial" w:cs="Arial"/>
        </w:rPr>
        <w:t xml:space="preserve">Property Tax </w:t>
      </w:r>
      <w:r w:rsidR="004D783D" w:rsidRPr="00C011AE">
        <w:rPr>
          <w:rFonts w:ascii="Arial" w:hAnsi="Arial" w:cs="Arial"/>
        </w:rPr>
        <w:t xml:space="preserve">Assistance </w:t>
      </w:r>
      <w:r w:rsidRPr="00C011AE">
        <w:rPr>
          <w:rFonts w:ascii="Arial" w:hAnsi="Arial" w:cs="Arial"/>
        </w:rPr>
        <w:t xml:space="preserve">Division </w:t>
      </w:r>
      <w:r w:rsidR="005F7770" w:rsidRPr="00C011AE">
        <w:rPr>
          <w:rFonts w:ascii="Arial" w:hAnsi="Arial" w:cs="Arial"/>
        </w:rPr>
        <w:t xml:space="preserve">(PTAD) </w:t>
      </w:r>
      <w:r w:rsidRPr="00C011AE">
        <w:rPr>
          <w:rFonts w:ascii="Arial" w:hAnsi="Arial" w:cs="Arial"/>
        </w:rPr>
        <w:t xml:space="preserve">conducts </w:t>
      </w:r>
      <w:r w:rsidR="001513B6" w:rsidRPr="00C011AE">
        <w:rPr>
          <w:rFonts w:ascii="Arial" w:hAnsi="Arial" w:cs="Arial"/>
        </w:rPr>
        <w:t>biennial</w:t>
      </w:r>
      <w:r w:rsidRPr="00C011AE">
        <w:rPr>
          <w:rFonts w:ascii="Arial" w:hAnsi="Arial" w:cs="Arial"/>
        </w:rPr>
        <w:t xml:space="preserve"> ratio stud</w:t>
      </w:r>
      <w:r w:rsidR="001513B6" w:rsidRPr="00C011AE">
        <w:rPr>
          <w:rFonts w:ascii="Arial" w:hAnsi="Arial" w:cs="Arial"/>
        </w:rPr>
        <w:t>ies</w:t>
      </w:r>
      <w:r w:rsidRPr="00C011AE">
        <w:rPr>
          <w:rFonts w:ascii="Arial" w:hAnsi="Arial" w:cs="Arial"/>
        </w:rPr>
        <w:t xml:space="preserve"> of selected mineral properties to gauge the district</w:t>
      </w:r>
      <w:r w:rsidR="005F7770" w:rsidRPr="00C011AE">
        <w:rPr>
          <w:rFonts w:ascii="Arial" w:hAnsi="Arial" w:cs="Arial"/>
        </w:rPr>
        <w:t>’</w:t>
      </w:r>
      <w:r w:rsidRPr="00C011AE">
        <w:rPr>
          <w:rFonts w:ascii="Arial" w:hAnsi="Arial" w:cs="Arial"/>
        </w:rPr>
        <w:t>s appraisal performance.  PT</w:t>
      </w:r>
      <w:r w:rsidR="004D783D" w:rsidRPr="00C011AE">
        <w:rPr>
          <w:rFonts w:ascii="Arial" w:hAnsi="Arial" w:cs="Arial"/>
        </w:rPr>
        <w:t>A</w:t>
      </w:r>
      <w:r w:rsidRPr="00C011AE">
        <w:rPr>
          <w:rFonts w:ascii="Arial" w:hAnsi="Arial" w:cs="Arial"/>
        </w:rPr>
        <w:t xml:space="preserve">D utilizes the same valuation methodology as </w:t>
      </w:r>
      <w:r w:rsidR="005F7770" w:rsidRPr="00C011AE">
        <w:rPr>
          <w:rFonts w:ascii="Arial" w:hAnsi="Arial" w:cs="Arial"/>
        </w:rPr>
        <w:t xml:space="preserve">Wardlaw </w:t>
      </w:r>
      <w:r w:rsidRPr="00C011AE">
        <w:rPr>
          <w:rFonts w:ascii="Arial" w:hAnsi="Arial" w:cs="Arial"/>
        </w:rPr>
        <w:t xml:space="preserve">to appraise individual mineral properties.   This opinion of value is then utilized as market evidence with the same significance as if the property </w:t>
      </w:r>
      <w:r w:rsidR="005F7770" w:rsidRPr="00C011AE">
        <w:rPr>
          <w:rFonts w:ascii="Arial" w:hAnsi="Arial" w:cs="Arial"/>
        </w:rPr>
        <w:t xml:space="preserve">had been </w:t>
      </w:r>
      <w:r w:rsidRPr="00C011AE">
        <w:rPr>
          <w:rFonts w:ascii="Arial" w:hAnsi="Arial" w:cs="Arial"/>
        </w:rPr>
        <w:t xml:space="preserve">sold for that value.   The estimated value of the property </w:t>
      </w:r>
      <w:r w:rsidR="004D783D" w:rsidRPr="00C011AE">
        <w:rPr>
          <w:rFonts w:ascii="Arial" w:hAnsi="Arial" w:cs="Arial"/>
        </w:rPr>
        <w:t xml:space="preserve">in each </w:t>
      </w:r>
      <w:r w:rsidRPr="00C011AE">
        <w:rPr>
          <w:rFonts w:ascii="Arial" w:hAnsi="Arial" w:cs="Arial"/>
        </w:rPr>
        <w:t>CAD is compared to the appraisal by the PT</w:t>
      </w:r>
      <w:r w:rsidR="00511BFB" w:rsidRPr="00C011AE">
        <w:rPr>
          <w:rFonts w:ascii="Arial" w:hAnsi="Arial" w:cs="Arial"/>
        </w:rPr>
        <w:t>A</w:t>
      </w:r>
      <w:r w:rsidRPr="00C011AE">
        <w:rPr>
          <w:rFonts w:ascii="Arial" w:hAnsi="Arial" w:cs="Arial"/>
        </w:rPr>
        <w:t xml:space="preserve">D to calculate the ratio and the indicated level of appraisal.   This study indicates the median and mean levels of appraisal for mineral property and is considered reliable as a review and evaluation tool.  </w:t>
      </w:r>
    </w:p>
    <w:p w14:paraId="3DCBA73E" w14:textId="77777777" w:rsidR="00C65310" w:rsidRPr="00C011AE" w:rsidRDefault="00C65310">
      <w:pPr>
        <w:pStyle w:val="Title"/>
        <w:spacing w:before="120" w:after="120" w:line="320" w:lineRule="atLeast"/>
        <w:ind w:left="1267" w:hanging="1267"/>
        <w:rPr>
          <w:rFonts w:ascii="Arial" w:hAnsi="Arial" w:cs="Arial"/>
          <w:sz w:val="28"/>
          <w14:shadow w14:blurRad="50800" w14:dist="38100" w14:dir="2700000" w14:sx="100000" w14:sy="100000" w14:kx="0" w14:ky="0" w14:algn="tl">
            <w14:srgbClr w14:val="000000">
              <w14:alpha w14:val="60000"/>
            </w14:srgbClr>
          </w14:shadow>
        </w:rPr>
      </w:pPr>
    </w:p>
    <w:p w14:paraId="438A97D7" w14:textId="0687BA30" w:rsidR="00BA1DB5" w:rsidRPr="00BA1DB5" w:rsidRDefault="000B5FB6" w:rsidP="00BA1DB5">
      <w:pPr>
        <w:pStyle w:val="Title"/>
        <w:spacing w:before="120" w:after="120" w:line="320" w:lineRule="atLeast"/>
        <w:ind w:left="1267" w:hanging="1267"/>
        <w:rPr>
          <w:rFonts w:ascii="Arial" w:hAnsi="Arial" w:cs="Arial"/>
          <w:sz w:val="28"/>
          <w14:shadow w14:blurRad="50800" w14:dist="38100" w14:dir="2700000" w14:sx="100000" w14:sy="100000" w14:kx="0" w14:ky="0" w14:algn="tl">
            <w14:srgbClr w14:val="000000">
              <w14:alpha w14:val="60000"/>
            </w14:srgbClr>
          </w14:shadow>
        </w:rPr>
      </w:pPr>
      <w:r w:rsidRPr="00C011AE">
        <w:rPr>
          <w:rFonts w:ascii="Arial" w:hAnsi="Arial" w:cs="Arial"/>
          <w:sz w:val="28"/>
          <w14:shadow w14:blurRad="50800" w14:dist="38100" w14:dir="2700000" w14:sx="100000" w14:sy="100000" w14:kx="0" w14:ky="0" w14:algn="tl">
            <w14:srgbClr w14:val="000000">
              <w14:alpha w14:val="60000"/>
            </w14:srgbClr>
          </w14:shadow>
        </w:rPr>
        <w:t xml:space="preserve">Utility, </w:t>
      </w:r>
      <w:r w:rsidR="00865CB3" w:rsidRPr="00C011AE">
        <w:rPr>
          <w:rFonts w:ascii="Arial" w:hAnsi="Arial" w:cs="Arial"/>
          <w:sz w:val="28"/>
          <w14:shadow w14:blurRad="50800" w14:dist="38100" w14:dir="2700000" w14:sx="100000" w14:sy="100000" w14:kx="0" w14:ky="0" w14:algn="tl">
            <w14:srgbClr w14:val="000000">
              <w14:alpha w14:val="60000"/>
            </w14:srgbClr>
          </w14:shadow>
        </w:rPr>
        <w:t xml:space="preserve">Industrial </w:t>
      </w:r>
      <w:r w:rsidRPr="00C011AE">
        <w:rPr>
          <w:rFonts w:ascii="Arial" w:hAnsi="Arial" w:cs="Arial"/>
          <w:sz w:val="28"/>
          <w14:shadow w14:blurRad="50800" w14:dist="38100" w14:dir="2700000" w14:sx="100000" w14:sy="100000" w14:kx="0" w14:ky="0" w14:algn="tl">
            <w14:srgbClr w14:val="000000">
              <w14:alpha w14:val="60000"/>
            </w14:srgbClr>
          </w14:shadow>
        </w:rPr>
        <w:t xml:space="preserve">&amp; Commercial </w:t>
      </w:r>
      <w:r w:rsidR="00380E43" w:rsidRPr="00C011AE">
        <w:rPr>
          <w:rFonts w:ascii="Arial" w:hAnsi="Arial" w:cs="Arial"/>
          <w:sz w:val="28"/>
          <w14:shadow w14:blurRad="50800" w14:dist="38100" w14:dir="2700000" w14:sx="100000" w14:sy="100000" w14:kx="0" w14:ky="0" w14:algn="tl">
            <w14:srgbClr w14:val="000000">
              <w14:alpha w14:val="60000"/>
            </w14:srgbClr>
          </w14:shadow>
        </w:rPr>
        <w:t>Property Valuation Proces</w:t>
      </w:r>
      <w:r w:rsidR="00512503">
        <w:rPr>
          <w:rFonts w:ascii="Arial" w:hAnsi="Arial" w:cs="Arial"/>
          <w:sz w:val="28"/>
          <w14:shadow w14:blurRad="50800" w14:dist="38100" w14:dir="2700000" w14:sx="100000" w14:sy="100000" w14:kx="0" w14:ky="0" w14:algn="tl">
            <w14:srgbClr w14:val="000000">
              <w14:alpha w14:val="60000"/>
            </w14:srgbClr>
          </w14:shadow>
        </w:rPr>
        <w:t>s</w:t>
      </w:r>
    </w:p>
    <w:p w14:paraId="35AE9D70" w14:textId="36EFDF3C" w:rsidR="00380E43" w:rsidRPr="00C011AE" w:rsidRDefault="00380E43" w:rsidP="00BA1DB5">
      <w:pPr>
        <w:pStyle w:val="Heading3"/>
        <w:numPr>
          <w:ilvl w:val="0"/>
          <w:numId w:val="30"/>
        </w:numPr>
        <w:spacing w:before="120" w:after="120" w:line="320" w:lineRule="atLeast"/>
        <w:ind w:left="0" w:hanging="270"/>
        <w:jc w:val="left"/>
        <w:rPr>
          <w:rFonts w:ascii="Arial" w:hAnsi="Arial" w:cs="Arial"/>
          <w:bCs/>
          <w:i w:val="0"/>
          <w:iCs/>
          <w:sz w:val="24"/>
        </w:rPr>
      </w:pPr>
      <w:r w:rsidRPr="00C011AE">
        <w:rPr>
          <w:rFonts w:ascii="Arial" w:hAnsi="Arial" w:cs="Arial"/>
          <w:bCs/>
          <w:i w:val="0"/>
          <w:iCs/>
          <w:sz w:val="24"/>
        </w:rPr>
        <w:t>Appraisal Responsibility</w:t>
      </w:r>
    </w:p>
    <w:p w14:paraId="2580ABF5" w14:textId="77777777" w:rsidR="005F7770" w:rsidRPr="00C011AE" w:rsidRDefault="000B5FB6" w:rsidP="005F7770">
      <w:pPr>
        <w:pStyle w:val="Footer"/>
        <w:tabs>
          <w:tab w:val="clear" w:pos="4320"/>
          <w:tab w:val="clear" w:pos="8640"/>
        </w:tabs>
        <w:spacing w:before="120" w:after="120" w:line="320" w:lineRule="atLeast"/>
        <w:jc w:val="both"/>
        <w:rPr>
          <w:rFonts w:ascii="Arial" w:hAnsi="Arial" w:cs="Arial"/>
        </w:rPr>
      </w:pPr>
      <w:r w:rsidRPr="00C011AE">
        <w:rPr>
          <w:rFonts w:ascii="Arial" w:hAnsi="Arial" w:cs="Arial"/>
        </w:rPr>
        <w:t xml:space="preserve">Utility, </w:t>
      </w:r>
      <w:r w:rsidR="00865CB3" w:rsidRPr="00C011AE">
        <w:rPr>
          <w:rFonts w:ascii="Arial" w:hAnsi="Arial" w:cs="Arial"/>
        </w:rPr>
        <w:t>Industrial</w:t>
      </w:r>
      <w:r w:rsidR="005F7770" w:rsidRPr="00C011AE">
        <w:rPr>
          <w:rFonts w:ascii="Arial" w:hAnsi="Arial" w:cs="Arial"/>
        </w:rPr>
        <w:t>,</w:t>
      </w:r>
      <w:r w:rsidRPr="00C011AE">
        <w:rPr>
          <w:rFonts w:ascii="Arial" w:hAnsi="Arial" w:cs="Arial"/>
        </w:rPr>
        <w:t xml:space="preserve"> and Commercial</w:t>
      </w:r>
      <w:r w:rsidR="00865CB3" w:rsidRPr="00C011AE">
        <w:rPr>
          <w:rFonts w:ascii="Arial" w:hAnsi="Arial" w:cs="Arial"/>
        </w:rPr>
        <w:t xml:space="preserve"> </w:t>
      </w:r>
      <w:r w:rsidR="00380E43" w:rsidRPr="00C011AE">
        <w:rPr>
          <w:rFonts w:ascii="Arial" w:hAnsi="Arial" w:cs="Arial"/>
        </w:rPr>
        <w:t>properties are the tangible assets of various businesses</w:t>
      </w:r>
      <w:r w:rsidR="005F7770" w:rsidRPr="00C011AE">
        <w:rPr>
          <w:rFonts w:ascii="Arial" w:hAnsi="Arial" w:cs="Arial"/>
        </w:rPr>
        <w:t>,</w:t>
      </w:r>
      <w:r w:rsidR="00380E43" w:rsidRPr="00C011AE">
        <w:rPr>
          <w:rFonts w:ascii="Arial" w:hAnsi="Arial" w:cs="Arial"/>
        </w:rPr>
        <w:t xml:space="preserve"> including electric production, transmission, and distribution companies, railroads, petroleum product gathering and delivery pipelines, telephone and communication providers</w:t>
      </w:r>
      <w:r w:rsidR="005F7770" w:rsidRPr="00C011AE">
        <w:rPr>
          <w:rFonts w:ascii="Arial" w:hAnsi="Arial" w:cs="Arial"/>
        </w:rPr>
        <w:t>,</w:t>
      </w:r>
      <w:r w:rsidR="00380E43" w:rsidRPr="00C011AE">
        <w:rPr>
          <w:rFonts w:ascii="Arial" w:hAnsi="Arial" w:cs="Arial"/>
        </w:rPr>
        <w:t xml:space="preserve"> and others.  </w:t>
      </w:r>
      <w:r w:rsidR="00865CB3" w:rsidRPr="00C011AE">
        <w:rPr>
          <w:rFonts w:ascii="Arial" w:hAnsi="Arial" w:cs="Arial"/>
        </w:rPr>
        <w:t>Utility properties are identified in the Texas Property Tax Code as Category J property. Industrial properties are identified under the Texas Property Tax Code as categories L2 (Industrial, Personal)</w:t>
      </w:r>
      <w:r w:rsidRPr="00C011AE">
        <w:rPr>
          <w:rFonts w:ascii="Arial" w:hAnsi="Arial" w:cs="Arial"/>
        </w:rPr>
        <w:t xml:space="preserve">, </w:t>
      </w:r>
      <w:r w:rsidR="00865CB3" w:rsidRPr="00C011AE">
        <w:rPr>
          <w:rFonts w:ascii="Arial" w:hAnsi="Arial" w:cs="Arial"/>
        </w:rPr>
        <w:t>F2 (Industrial, Real)</w:t>
      </w:r>
      <w:r w:rsidR="005F7770" w:rsidRPr="00C011AE">
        <w:rPr>
          <w:rFonts w:ascii="Arial" w:hAnsi="Arial" w:cs="Arial"/>
        </w:rPr>
        <w:t>,</w:t>
      </w:r>
      <w:r w:rsidRPr="00C011AE">
        <w:rPr>
          <w:rFonts w:ascii="Arial" w:hAnsi="Arial" w:cs="Arial"/>
        </w:rPr>
        <w:t xml:space="preserve"> and L1 (Commercial)</w:t>
      </w:r>
      <w:r w:rsidR="00865CB3" w:rsidRPr="00C011AE">
        <w:rPr>
          <w:rFonts w:ascii="Arial" w:hAnsi="Arial" w:cs="Arial"/>
        </w:rPr>
        <w:t xml:space="preserve">. </w:t>
      </w:r>
      <w:r w:rsidR="00380E43" w:rsidRPr="00C011AE">
        <w:rPr>
          <w:rFonts w:ascii="Arial" w:hAnsi="Arial" w:cs="Arial"/>
        </w:rPr>
        <w:t xml:space="preserve">The valuation of these properties is considered to be complex due to the involvement of both tangible and intangible property elements that comprise these businesses and due to the size of some of the utilities that are regional and national companies.   The appraisal of these companies becomes complex when considering the valuation of the property as a unit in place, evaluating the property by the approaches to value at the company level.  The appraisal district does not have personnel qualified to perform this type of appraisal. An appraisal firm is employed to provide the expertise to perform this type of appraisal. Once the estimated value of the unit is determined by the appraisal firm, that estimated market value is allocated based on the tangible property assets that are located within </w:t>
      </w:r>
      <w:r w:rsidR="004D783D" w:rsidRPr="00C011AE">
        <w:rPr>
          <w:rFonts w:ascii="Arial" w:hAnsi="Arial" w:cs="Arial"/>
        </w:rPr>
        <w:t>each</w:t>
      </w:r>
      <w:r w:rsidR="00380E43" w:rsidRPr="00C011AE">
        <w:rPr>
          <w:rFonts w:ascii="Arial" w:hAnsi="Arial" w:cs="Arial"/>
        </w:rPr>
        <w:t xml:space="preserve"> CAD.</w:t>
      </w:r>
    </w:p>
    <w:p w14:paraId="617C4F69" w14:textId="77777777" w:rsidR="005F7770" w:rsidRPr="00C011AE" w:rsidRDefault="00380E43" w:rsidP="005F7770">
      <w:pPr>
        <w:pStyle w:val="Footer"/>
        <w:numPr>
          <w:ilvl w:val="0"/>
          <w:numId w:val="28"/>
        </w:numPr>
        <w:tabs>
          <w:tab w:val="clear" w:pos="4320"/>
          <w:tab w:val="clear" w:pos="8640"/>
        </w:tabs>
        <w:spacing w:before="120" w:after="120" w:line="320" w:lineRule="atLeast"/>
        <w:ind w:left="0" w:hanging="270"/>
        <w:jc w:val="both"/>
        <w:rPr>
          <w:rFonts w:ascii="Arial" w:hAnsi="Arial" w:cs="Arial"/>
          <w:b/>
        </w:rPr>
      </w:pPr>
      <w:r w:rsidRPr="00C011AE">
        <w:rPr>
          <w:rFonts w:ascii="Arial" w:hAnsi="Arial" w:cs="Arial"/>
          <w:b/>
          <w:iCs/>
          <w:sz w:val="24"/>
        </w:rPr>
        <w:t>Appraisal Resources</w:t>
      </w:r>
      <w:r w:rsidR="005F7770" w:rsidRPr="00C011AE">
        <w:rPr>
          <w:rFonts w:ascii="Arial" w:hAnsi="Arial" w:cs="Arial"/>
          <w:b/>
          <w:iCs/>
          <w:sz w:val="24"/>
        </w:rPr>
        <w:t xml:space="preserve"> </w:t>
      </w:r>
    </w:p>
    <w:p w14:paraId="7A2CC44D" w14:textId="6ADAA86D" w:rsidR="003C2EDF" w:rsidRPr="00C011AE" w:rsidRDefault="003C2EDF" w:rsidP="005F7770">
      <w:pPr>
        <w:pStyle w:val="Footer"/>
        <w:tabs>
          <w:tab w:val="clear" w:pos="4320"/>
          <w:tab w:val="clear" w:pos="8640"/>
        </w:tabs>
        <w:spacing w:before="120" w:after="120" w:line="320" w:lineRule="atLeast"/>
        <w:jc w:val="both"/>
        <w:rPr>
          <w:rFonts w:ascii="Arial" w:hAnsi="Arial" w:cs="Arial"/>
        </w:rPr>
      </w:pPr>
      <w:r w:rsidRPr="00C011AE">
        <w:rPr>
          <w:rFonts w:ascii="Arial" w:hAnsi="Arial" w:cs="Arial"/>
          <w:bCs/>
        </w:rPr>
        <w:t>Personnel – Wardlaw provides adequate personnel to meet all contract appraisal requirements.</w:t>
      </w:r>
    </w:p>
    <w:p w14:paraId="7C23DEC1" w14:textId="77777777" w:rsidR="001229D1" w:rsidRPr="00C011AE" w:rsidRDefault="00380E43" w:rsidP="00CD0445">
      <w:pPr>
        <w:pStyle w:val="Footer"/>
        <w:tabs>
          <w:tab w:val="clear" w:pos="4320"/>
          <w:tab w:val="clear" w:pos="8640"/>
        </w:tabs>
        <w:spacing w:before="120" w:after="120" w:line="320" w:lineRule="atLeast"/>
        <w:jc w:val="both"/>
        <w:rPr>
          <w:rFonts w:ascii="Arial" w:hAnsi="Arial" w:cs="Arial"/>
        </w:rPr>
      </w:pPr>
      <w:r w:rsidRPr="00C011AE">
        <w:rPr>
          <w:rFonts w:ascii="Arial" w:hAnsi="Arial" w:cs="Arial"/>
          <w:bCs/>
        </w:rPr>
        <w:t>Data</w:t>
      </w:r>
      <w:r w:rsidRPr="00C011AE">
        <w:rPr>
          <w:rFonts w:ascii="Arial" w:hAnsi="Arial" w:cs="Arial"/>
        </w:rPr>
        <w:t xml:space="preserve"> - A common set of data c</w:t>
      </w:r>
      <w:r w:rsidR="000B5FB6" w:rsidRPr="00C011AE">
        <w:rPr>
          <w:rFonts w:ascii="Arial" w:hAnsi="Arial" w:cs="Arial"/>
        </w:rPr>
        <w:t xml:space="preserve">haracteristics for each utility, </w:t>
      </w:r>
      <w:r w:rsidR="00CA6D00" w:rsidRPr="00C011AE">
        <w:rPr>
          <w:rFonts w:ascii="Arial" w:hAnsi="Arial" w:cs="Arial"/>
        </w:rPr>
        <w:t>industrial</w:t>
      </w:r>
      <w:r w:rsidR="005F7770" w:rsidRPr="00C011AE">
        <w:rPr>
          <w:rFonts w:ascii="Arial" w:hAnsi="Arial" w:cs="Arial"/>
        </w:rPr>
        <w:t>,</w:t>
      </w:r>
      <w:r w:rsidR="000B5FB6" w:rsidRPr="00C011AE">
        <w:rPr>
          <w:rFonts w:ascii="Arial" w:hAnsi="Arial" w:cs="Arial"/>
        </w:rPr>
        <w:t xml:space="preserve"> and commercial</w:t>
      </w:r>
      <w:r w:rsidR="00CA6D00" w:rsidRPr="00C011AE">
        <w:rPr>
          <w:rFonts w:ascii="Arial" w:hAnsi="Arial" w:cs="Arial"/>
        </w:rPr>
        <w:t xml:space="preserve"> </w:t>
      </w:r>
      <w:r w:rsidRPr="00C011AE">
        <w:rPr>
          <w:rFonts w:ascii="Arial" w:hAnsi="Arial" w:cs="Arial"/>
        </w:rPr>
        <w:t xml:space="preserve">property account in </w:t>
      </w:r>
      <w:r w:rsidR="004D783D" w:rsidRPr="00C011AE">
        <w:rPr>
          <w:rFonts w:ascii="Arial" w:hAnsi="Arial" w:cs="Arial"/>
        </w:rPr>
        <w:t>each</w:t>
      </w:r>
      <w:r w:rsidRPr="00C011AE">
        <w:rPr>
          <w:rFonts w:ascii="Arial" w:hAnsi="Arial" w:cs="Arial"/>
        </w:rPr>
        <w:t xml:space="preserve"> CAD is collected from the various government regulatory agency records, field inspections, </w:t>
      </w:r>
      <w:r w:rsidR="00CA6D00" w:rsidRPr="00C011AE">
        <w:rPr>
          <w:rFonts w:ascii="Arial" w:hAnsi="Arial" w:cs="Arial"/>
        </w:rPr>
        <w:t xml:space="preserve">data resources, </w:t>
      </w:r>
      <w:r w:rsidRPr="00C011AE">
        <w:rPr>
          <w:rFonts w:ascii="Arial" w:hAnsi="Arial" w:cs="Arial"/>
        </w:rPr>
        <w:t xml:space="preserve">and property owner renditions.   This data is entered </w:t>
      </w:r>
      <w:r w:rsidR="001229D1" w:rsidRPr="00C011AE">
        <w:rPr>
          <w:rFonts w:ascii="Arial" w:hAnsi="Arial" w:cs="Arial"/>
        </w:rPr>
        <w:t>in</w:t>
      </w:r>
      <w:r w:rsidRPr="00C011AE">
        <w:rPr>
          <w:rFonts w:ascii="Arial" w:hAnsi="Arial" w:cs="Arial"/>
        </w:rPr>
        <w:t xml:space="preserve">to the appraisal firm’s computer.  Individual company financial information is gathered </w:t>
      </w:r>
      <w:r w:rsidR="001229D1" w:rsidRPr="00C011AE">
        <w:rPr>
          <w:rFonts w:ascii="Arial" w:hAnsi="Arial" w:cs="Arial"/>
        </w:rPr>
        <w:t>from industry-specific government filings, such as Federal Energy Regulatory Commission Reports, Securities and Exchange Commission Form 10-K filings, Railroad Commission filings,</w:t>
      </w:r>
      <w:r w:rsidR="000B5FB6" w:rsidRPr="00C011AE">
        <w:rPr>
          <w:rFonts w:ascii="Arial" w:hAnsi="Arial" w:cs="Arial"/>
        </w:rPr>
        <w:t xml:space="preserve"> </w:t>
      </w:r>
      <w:r w:rsidRPr="00C011AE">
        <w:rPr>
          <w:rFonts w:ascii="Arial" w:hAnsi="Arial" w:cs="Arial"/>
        </w:rPr>
        <w:t xml:space="preserve">and Public Utility Commission publications.  Other company information is gathered from annual reports, internal appraisals, and other in-house and industry publications.  </w:t>
      </w:r>
      <w:r w:rsidR="001229D1" w:rsidRPr="00C011AE">
        <w:rPr>
          <w:rFonts w:ascii="Arial" w:hAnsi="Arial" w:cs="Arial"/>
        </w:rPr>
        <w:t xml:space="preserve">Property owner renditions are </w:t>
      </w:r>
      <w:r w:rsidR="001229D1" w:rsidRPr="00C011AE">
        <w:rPr>
          <w:rFonts w:ascii="Arial" w:hAnsi="Arial" w:cs="Arial"/>
        </w:rPr>
        <w:lastRenderedPageBreak/>
        <w:t>requested to document and list property owned and located within our jurisdictions (e.g., track mileage, number of meters, pipeline size and mileage, substation and transmission capacity, etc.). The property characteristic data drives the computer-assisted appraisal of the property.</w:t>
      </w:r>
    </w:p>
    <w:p w14:paraId="0CB2E2F8" w14:textId="77777777" w:rsidR="001229D1" w:rsidRPr="00C011AE" w:rsidRDefault="00380E43" w:rsidP="001229D1">
      <w:pPr>
        <w:pStyle w:val="Footer"/>
        <w:tabs>
          <w:tab w:val="clear" w:pos="4320"/>
          <w:tab w:val="clear" w:pos="8640"/>
        </w:tabs>
        <w:spacing w:before="120" w:after="120" w:line="320" w:lineRule="atLeast"/>
        <w:jc w:val="both"/>
        <w:rPr>
          <w:rFonts w:ascii="Arial" w:hAnsi="Arial" w:cs="Arial"/>
        </w:rPr>
      </w:pPr>
      <w:r w:rsidRPr="00C011AE">
        <w:rPr>
          <w:rFonts w:ascii="Arial" w:hAnsi="Arial" w:cs="Arial"/>
        </w:rPr>
        <w:t xml:space="preserve">The appraisal of utility </w:t>
      </w:r>
      <w:r w:rsidR="00CA6D00" w:rsidRPr="00C011AE">
        <w:rPr>
          <w:rFonts w:ascii="Arial" w:hAnsi="Arial" w:cs="Arial"/>
        </w:rPr>
        <w:t xml:space="preserve">and industrial </w:t>
      </w:r>
      <w:r w:rsidRPr="00C011AE">
        <w:rPr>
          <w:rFonts w:ascii="Arial" w:hAnsi="Arial" w:cs="Arial"/>
        </w:rPr>
        <w:t>property u</w:t>
      </w:r>
      <w:r w:rsidR="001229D1" w:rsidRPr="00C011AE">
        <w:rPr>
          <w:rFonts w:ascii="Arial" w:hAnsi="Arial" w:cs="Arial"/>
        </w:rPr>
        <w:t>s</w:t>
      </w:r>
      <w:r w:rsidRPr="00C011AE">
        <w:rPr>
          <w:rFonts w:ascii="Arial" w:hAnsi="Arial" w:cs="Arial"/>
        </w:rPr>
        <w:t xml:space="preserve">es </w:t>
      </w:r>
      <w:r w:rsidR="001229D1" w:rsidRPr="00C011AE">
        <w:rPr>
          <w:rFonts w:ascii="Arial" w:hAnsi="Arial" w:cs="Arial"/>
        </w:rPr>
        <w:t xml:space="preserve">a </w:t>
      </w:r>
      <w:r w:rsidRPr="00C011AE">
        <w:rPr>
          <w:rFonts w:ascii="Arial" w:hAnsi="Arial" w:cs="Arial"/>
        </w:rPr>
        <w:t xml:space="preserve">three-approach analysis to form an opinion of value.  </w:t>
      </w:r>
      <w:r w:rsidR="001229D1" w:rsidRPr="00C011AE">
        <w:rPr>
          <w:rFonts w:ascii="Arial" w:hAnsi="Arial" w:cs="Arial"/>
        </w:rPr>
        <w:t xml:space="preserve">Financial and capital market information is essential to understanding the factors that affect the valuation of complex property. It is necessary to gather financial data to assess investor and corporate attitudes toward capital return expectations and to consider return components such as current interest rates, capital debt structure, bond market rates, and capital supply and demand trends. These financial factors determine overall return rates and capital structure for these companies and affect capitalization rates. The weighted average cost of capital is the most commonly used method for estimating capitalization rates for utility properties. Capitalization rates are estimated using capital return expectations from various publications: the Kroll Cost of Capital Navigator (formerly the Duff &amp; Phelps Valuation Handbook), Wall Street Journal, </w:t>
      </w:r>
      <w:proofErr w:type="spellStart"/>
      <w:r w:rsidR="001229D1" w:rsidRPr="00C011AE">
        <w:rPr>
          <w:rFonts w:ascii="Arial" w:hAnsi="Arial" w:cs="Arial"/>
        </w:rPr>
        <w:t>Mergent</w:t>
      </w:r>
      <w:proofErr w:type="spellEnd"/>
      <w:r w:rsidR="001229D1" w:rsidRPr="00C011AE">
        <w:rPr>
          <w:rFonts w:ascii="Arial" w:hAnsi="Arial" w:cs="Arial"/>
        </w:rPr>
        <w:t xml:space="preserve"> Bond Record, Moody’s Corporate Bond Yield Averages, and Standard &amp; Poor’s Capital IQ. Industry-specific information is also gathered from websites, publications, periodicals, and reference manuals. Wardlaw then estimates the capitalization rate for utility appraisal under the income approach.</w:t>
      </w:r>
    </w:p>
    <w:p w14:paraId="6D5C1F58" w14:textId="72E8ADA7" w:rsidR="00380E43" w:rsidRPr="00BA1DB5" w:rsidRDefault="003D3DD6" w:rsidP="003D3DD6">
      <w:pPr>
        <w:pStyle w:val="Footer"/>
        <w:numPr>
          <w:ilvl w:val="0"/>
          <w:numId w:val="28"/>
        </w:numPr>
        <w:tabs>
          <w:tab w:val="clear" w:pos="4320"/>
          <w:tab w:val="clear" w:pos="8640"/>
        </w:tabs>
        <w:spacing w:before="120" w:after="120" w:line="320" w:lineRule="atLeast"/>
        <w:ind w:left="0" w:hanging="270"/>
        <w:jc w:val="both"/>
        <w:rPr>
          <w:rFonts w:ascii="Arial" w:hAnsi="Arial" w:cs="Arial"/>
          <w:b/>
          <w:iCs/>
          <w:sz w:val="24"/>
        </w:rPr>
      </w:pPr>
      <w:r w:rsidRPr="00BA1DB5">
        <w:rPr>
          <w:rFonts w:ascii="Arial" w:hAnsi="Arial" w:cs="Arial"/>
          <w:b/>
          <w:iCs/>
          <w:sz w:val="24"/>
        </w:rPr>
        <w:t>Valuation And Statistical Analysis (Model Calibration)</w:t>
      </w:r>
    </w:p>
    <w:p w14:paraId="022B6DEE" w14:textId="77777777" w:rsidR="00380E43" w:rsidRPr="00C011AE" w:rsidRDefault="00380E43">
      <w:pPr>
        <w:pStyle w:val="BodyText"/>
        <w:tabs>
          <w:tab w:val="left" w:pos="1260"/>
        </w:tabs>
        <w:spacing w:before="120" w:after="120" w:line="320" w:lineRule="atLeast"/>
        <w:rPr>
          <w:rFonts w:ascii="Arial" w:hAnsi="Arial" w:cs="Arial"/>
          <w:i/>
          <w:iCs/>
          <w:sz w:val="24"/>
        </w:rPr>
      </w:pPr>
      <w:r w:rsidRPr="00C011AE">
        <w:rPr>
          <w:rFonts w:ascii="Arial" w:hAnsi="Arial" w:cs="Arial"/>
          <w:i/>
          <w:iCs/>
          <w:sz w:val="24"/>
        </w:rPr>
        <w:t xml:space="preserve">Approaches to Valuation, Reconciliation   </w:t>
      </w:r>
    </w:p>
    <w:p w14:paraId="5724F9C8" w14:textId="440366BC" w:rsidR="00380E43" w:rsidRPr="00C011AE" w:rsidRDefault="00380E43" w:rsidP="00CD0445">
      <w:pPr>
        <w:pStyle w:val="Footer"/>
        <w:tabs>
          <w:tab w:val="clear" w:pos="4320"/>
          <w:tab w:val="clear" w:pos="8640"/>
        </w:tabs>
        <w:spacing w:before="120" w:after="120" w:line="320" w:lineRule="atLeast"/>
        <w:jc w:val="both"/>
        <w:rPr>
          <w:rFonts w:ascii="Arial" w:hAnsi="Arial" w:cs="Arial"/>
        </w:rPr>
      </w:pPr>
      <w:r w:rsidRPr="00C011AE">
        <w:rPr>
          <w:rFonts w:ascii="Arial" w:hAnsi="Arial" w:cs="Arial"/>
        </w:rPr>
        <w:t>Valuation of tangible assets for utility</w:t>
      </w:r>
      <w:r w:rsidR="00CA6D00" w:rsidRPr="00C011AE">
        <w:rPr>
          <w:rFonts w:ascii="Arial" w:hAnsi="Arial" w:cs="Arial"/>
        </w:rPr>
        <w:t xml:space="preserve"> and industrial </w:t>
      </w:r>
      <w:r w:rsidRPr="00C011AE">
        <w:rPr>
          <w:rFonts w:ascii="Arial" w:hAnsi="Arial" w:cs="Arial"/>
        </w:rPr>
        <w:t>companies relies primarily on indications of value based on the cost and income approaches to value under the unit value approach.  This methodology involves developing and estimating market value considering the entirety of the company’s tangible assets and resolving an allocated value for that portion of specific tangible assets located in particular tax jurisdictions.   The valuation opinion is based on three approach</w:t>
      </w:r>
      <w:r w:rsidR="00512503">
        <w:rPr>
          <w:rFonts w:ascii="Arial" w:hAnsi="Arial" w:cs="Arial"/>
        </w:rPr>
        <w:t>es</w:t>
      </w:r>
      <w:r w:rsidRPr="00C011AE">
        <w:rPr>
          <w:rFonts w:ascii="Arial" w:hAnsi="Arial" w:cs="Arial"/>
        </w:rPr>
        <w:t xml:space="preserve"> analysis utilized for the indicated unit appraisal of all company tangible assets, then an estimated allocation of unit value for only assets located in the district and particular jurisdictions.   This methodology is approved and recommended by the Property Tax </w:t>
      </w:r>
      <w:r w:rsidR="00511BFB" w:rsidRPr="00C011AE">
        <w:rPr>
          <w:rFonts w:ascii="Arial" w:hAnsi="Arial" w:cs="Arial"/>
        </w:rPr>
        <w:t xml:space="preserve">Assistance </w:t>
      </w:r>
      <w:r w:rsidRPr="00C011AE">
        <w:rPr>
          <w:rFonts w:ascii="Arial" w:hAnsi="Arial" w:cs="Arial"/>
        </w:rPr>
        <w:t xml:space="preserve">Division of the Comptroller’s Office and is an accepted standard within the industry and appraisal community.  </w:t>
      </w:r>
    </w:p>
    <w:p w14:paraId="408F61F3" w14:textId="77777777" w:rsidR="00380E43" w:rsidRPr="00C011AE" w:rsidRDefault="00380E43">
      <w:pPr>
        <w:pStyle w:val="BodyText"/>
        <w:tabs>
          <w:tab w:val="left" w:pos="1260"/>
        </w:tabs>
        <w:spacing w:before="120" w:after="120" w:line="320" w:lineRule="atLeast"/>
        <w:rPr>
          <w:rFonts w:ascii="Arial" w:hAnsi="Arial" w:cs="Arial"/>
        </w:rPr>
      </w:pPr>
      <w:r w:rsidRPr="00C011AE">
        <w:rPr>
          <w:rFonts w:ascii="Arial" w:hAnsi="Arial" w:cs="Arial"/>
          <w:i/>
          <w:iCs/>
          <w:sz w:val="24"/>
        </w:rPr>
        <w:t xml:space="preserve">Value Review Procedures  </w:t>
      </w:r>
    </w:p>
    <w:p w14:paraId="57AD6E29" w14:textId="1FE1504C" w:rsidR="00380E43" w:rsidRPr="00C011AE" w:rsidRDefault="00380E43" w:rsidP="00CD0445">
      <w:pPr>
        <w:pStyle w:val="BodyText"/>
        <w:tabs>
          <w:tab w:val="left" w:pos="1260"/>
        </w:tabs>
        <w:spacing w:before="120" w:after="120" w:line="320" w:lineRule="atLeast"/>
        <w:jc w:val="both"/>
        <w:rPr>
          <w:rFonts w:ascii="Arial" w:hAnsi="Arial" w:cs="Arial"/>
        </w:rPr>
      </w:pPr>
      <w:r w:rsidRPr="00C011AE">
        <w:rPr>
          <w:rFonts w:ascii="Arial" w:hAnsi="Arial" w:cs="Arial"/>
        </w:rPr>
        <w:t>Review of the valuation of utility property is based on verifying economic and financial factors utilized in the methodology as relevant to current capital markets and that these factors reflect current return expectations.   Market sales of utility properties do occur and are a good source for comparison and review when the price of the tangible assets can be abstracted or allocated from the selling price.   Typically, the sale of utility companies involve</w:t>
      </w:r>
      <w:r w:rsidR="00512503">
        <w:rPr>
          <w:rFonts w:ascii="Arial" w:hAnsi="Arial" w:cs="Arial"/>
        </w:rPr>
        <w:t>s</w:t>
      </w:r>
      <w:r w:rsidRPr="00C011AE">
        <w:rPr>
          <w:rFonts w:ascii="Arial" w:hAnsi="Arial" w:cs="Arial"/>
        </w:rPr>
        <w:t xml:space="preserve"> significant intangible property assets such as customer base, goodwill, favorable contracts, name recognition, etc.</w:t>
      </w:r>
      <w:r w:rsidR="00512503">
        <w:rPr>
          <w:rFonts w:ascii="Arial" w:hAnsi="Arial" w:cs="Arial"/>
        </w:rPr>
        <w:t>,</w:t>
      </w:r>
      <w:r w:rsidRPr="00C011AE">
        <w:rPr>
          <w:rFonts w:ascii="Arial" w:hAnsi="Arial" w:cs="Arial"/>
        </w:rPr>
        <w:t xml:space="preserve"> and the contributory value and allocation of these assets </w:t>
      </w:r>
      <w:r w:rsidR="00512503">
        <w:rPr>
          <w:rFonts w:ascii="Arial" w:hAnsi="Arial" w:cs="Arial"/>
        </w:rPr>
        <w:t>are</w:t>
      </w:r>
      <w:r w:rsidRPr="00C011AE">
        <w:rPr>
          <w:rFonts w:ascii="Arial" w:hAnsi="Arial" w:cs="Arial"/>
        </w:rPr>
        <w:t xml:space="preserve"> subjective and unknown.   In Texas, intangible property assets are exempt from taxation and must not be included on the appraisal roll as taxable property.  Therefore, because of the lack of specific market information on sales of utility properties, appraised value is regularly compared to the valuation of similar propert</w:t>
      </w:r>
      <w:r w:rsidR="00512503">
        <w:rPr>
          <w:rFonts w:ascii="Arial" w:hAnsi="Arial" w:cs="Arial"/>
        </w:rPr>
        <w:t>ies</w:t>
      </w:r>
      <w:r w:rsidRPr="00C011AE">
        <w:rPr>
          <w:rFonts w:ascii="Arial" w:hAnsi="Arial" w:cs="Arial"/>
        </w:rPr>
        <w:t xml:space="preserve"> within the same set of property characteristics, business type</w:t>
      </w:r>
      <w:r w:rsidR="00512503">
        <w:rPr>
          <w:rFonts w:ascii="Arial" w:hAnsi="Arial" w:cs="Arial"/>
        </w:rPr>
        <w:t>,</w:t>
      </w:r>
      <w:r w:rsidRPr="00C011AE">
        <w:rPr>
          <w:rFonts w:ascii="Arial" w:hAnsi="Arial" w:cs="Arial"/>
        </w:rPr>
        <w:t xml:space="preserve"> and size.   More of comparison for equity </w:t>
      </w:r>
      <w:r w:rsidRPr="00C011AE">
        <w:rPr>
          <w:rFonts w:ascii="Arial" w:hAnsi="Arial" w:cs="Arial"/>
        </w:rPr>
        <w:lastRenderedPageBreak/>
        <w:t xml:space="preserve">concerns on valuation rather than the full recognition of a market level certainty about appraisal level.  Of course, the estimated value is based on </w:t>
      </w:r>
      <w:r w:rsidR="00512503">
        <w:rPr>
          <w:rFonts w:ascii="Arial" w:hAnsi="Arial" w:cs="Arial"/>
        </w:rPr>
        <w:t xml:space="preserve">a </w:t>
      </w:r>
      <w:r w:rsidRPr="00C011AE">
        <w:rPr>
          <w:rFonts w:ascii="Arial" w:hAnsi="Arial" w:cs="Arial"/>
        </w:rPr>
        <w:t>recognized methodology for considering the valuation of these tangible assets, but true market confirmation of these factors may not be possible due to minimal market knowledge and experience.</w:t>
      </w:r>
    </w:p>
    <w:p w14:paraId="3367EE4A" w14:textId="0E204875" w:rsidR="00380E43" w:rsidRPr="00C011AE" w:rsidRDefault="00380E43" w:rsidP="00CD0445">
      <w:pPr>
        <w:pStyle w:val="BodyText"/>
        <w:tabs>
          <w:tab w:val="left" w:pos="1260"/>
        </w:tabs>
        <w:spacing w:before="120" w:after="120" w:line="320" w:lineRule="atLeast"/>
        <w:jc w:val="both"/>
        <w:rPr>
          <w:rFonts w:ascii="Arial" w:hAnsi="Arial" w:cs="Arial"/>
        </w:rPr>
      </w:pPr>
      <w:r w:rsidRPr="00C011AE">
        <w:rPr>
          <w:rFonts w:ascii="Arial" w:hAnsi="Arial" w:cs="Arial"/>
        </w:rPr>
        <w:t xml:space="preserve">Ratio studies are also a method of review for </w:t>
      </w:r>
      <w:r w:rsidR="00512503">
        <w:rPr>
          <w:rFonts w:ascii="Arial" w:hAnsi="Arial" w:cs="Arial"/>
        </w:rPr>
        <w:t xml:space="preserve">the </w:t>
      </w:r>
      <w:r w:rsidRPr="00C011AE">
        <w:rPr>
          <w:rFonts w:ascii="Arial" w:hAnsi="Arial" w:cs="Arial"/>
        </w:rPr>
        <w:t>relevance of appraisal valuation to market value.  Again, in the absence of full disclosure of prices paid and without the abstraction of prices paid for the tangible asset components from recent utility property acquisitions or sales, market</w:t>
      </w:r>
      <w:r w:rsidR="00512503">
        <w:rPr>
          <w:rFonts w:ascii="Arial" w:hAnsi="Arial" w:cs="Arial"/>
        </w:rPr>
        <w:t>-</w:t>
      </w:r>
      <w:r w:rsidRPr="00C011AE">
        <w:rPr>
          <w:rFonts w:ascii="Arial" w:hAnsi="Arial" w:cs="Arial"/>
        </w:rPr>
        <w:t xml:space="preserve">based analysis and review </w:t>
      </w:r>
      <w:r w:rsidR="00512503">
        <w:rPr>
          <w:rFonts w:ascii="Arial" w:hAnsi="Arial" w:cs="Arial"/>
        </w:rPr>
        <w:t>are</w:t>
      </w:r>
      <w:r w:rsidRPr="00C011AE">
        <w:rPr>
          <w:rFonts w:ascii="Arial" w:hAnsi="Arial" w:cs="Arial"/>
        </w:rPr>
        <w:t xml:space="preserve"> not possible.  Ratio studies for utility property must rely on a comparison of one appraisal opinion as the basis for the reasonable property valuation with the district’s appraised value to determine the ratio for level and uniformity of appraisal.   The PT</w:t>
      </w:r>
      <w:r w:rsidR="00511BFB" w:rsidRPr="00C011AE">
        <w:rPr>
          <w:rFonts w:ascii="Arial" w:hAnsi="Arial" w:cs="Arial"/>
        </w:rPr>
        <w:t>A</w:t>
      </w:r>
      <w:r w:rsidRPr="00C011AE">
        <w:rPr>
          <w:rFonts w:ascii="Arial" w:hAnsi="Arial" w:cs="Arial"/>
        </w:rPr>
        <w:t>D conducts the annual ratio study of selected utility properties to gauge the appraisal district’s performance.  The PT</w:t>
      </w:r>
      <w:r w:rsidR="00511BFB" w:rsidRPr="00C011AE">
        <w:rPr>
          <w:rFonts w:ascii="Arial" w:hAnsi="Arial" w:cs="Arial"/>
        </w:rPr>
        <w:t>A</w:t>
      </w:r>
      <w:r w:rsidRPr="00C011AE">
        <w:rPr>
          <w:rFonts w:ascii="Arial" w:hAnsi="Arial" w:cs="Arial"/>
        </w:rPr>
        <w:t>D utilizes the same valuation methodology to estimate appraisal valuations of utility properties</w:t>
      </w:r>
      <w:r w:rsidR="00512503">
        <w:rPr>
          <w:rFonts w:ascii="Arial" w:hAnsi="Arial" w:cs="Arial"/>
        </w:rPr>
        <w:t>,</w:t>
      </w:r>
      <w:r w:rsidRPr="00C011AE">
        <w:rPr>
          <w:rFonts w:ascii="Arial" w:hAnsi="Arial" w:cs="Arial"/>
        </w:rPr>
        <w:t xml:space="preserve"> and the results, when compared to the appraisal valuation estimated by the appraisal firm for these properties</w:t>
      </w:r>
      <w:r w:rsidR="00512503">
        <w:rPr>
          <w:rFonts w:ascii="Arial" w:hAnsi="Arial" w:cs="Arial"/>
        </w:rPr>
        <w:t>,</w:t>
      </w:r>
      <w:r w:rsidRPr="00C011AE">
        <w:rPr>
          <w:rFonts w:ascii="Arial" w:hAnsi="Arial" w:cs="Arial"/>
        </w:rPr>
        <w:t xml:space="preserve"> yield ratios.   This ratio study of certain utility properties indicates the level and uniformity of appraisal for this category of property.</w:t>
      </w:r>
    </w:p>
    <w:p w14:paraId="0EBC1B6A" w14:textId="77777777" w:rsidR="00CD0445" w:rsidRPr="00C011AE" w:rsidRDefault="00CD0445" w:rsidP="00CD0445">
      <w:pPr>
        <w:pStyle w:val="BodyText"/>
        <w:tabs>
          <w:tab w:val="left" w:pos="1260"/>
        </w:tabs>
        <w:spacing w:before="120" w:after="120" w:line="320" w:lineRule="atLeast"/>
        <w:jc w:val="both"/>
        <w:rPr>
          <w:rFonts w:ascii="Arial" w:hAnsi="Arial" w:cs="Arial"/>
        </w:rPr>
      </w:pPr>
    </w:p>
    <w:p w14:paraId="4841D581" w14:textId="77777777" w:rsidR="00CD0445" w:rsidRPr="00C011AE" w:rsidRDefault="00CD0445" w:rsidP="00CD0445">
      <w:pPr>
        <w:pStyle w:val="BodyText"/>
        <w:tabs>
          <w:tab w:val="left" w:pos="1260"/>
        </w:tabs>
        <w:spacing w:before="120" w:after="120" w:line="320" w:lineRule="atLeast"/>
        <w:jc w:val="both"/>
        <w:rPr>
          <w:rFonts w:ascii="Arial" w:hAnsi="Arial" w:cs="Arial"/>
        </w:rPr>
      </w:pPr>
    </w:p>
    <w:p w14:paraId="7EBA5141" w14:textId="77777777" w:rsidR="00CD0445" w:rsidRPr="00C011AE" w:rsidRDefault="00CD0445" w:rsidP="00CD0445">
      <w:pPr>
        <w:pStyle w:val="BodyText"/>
        <w:tabs>
          <w:tab w:val="left" w:pos="1260"/>
        </w:tabs>
        <w:spacing w:before="120" w:after="120" w:line="320" w:lineRule="atLeast"/>
        <w:jc w:val="both"/>
        <w:rPr>
          <w:rFonts w:ascii="Arial" w:hAnsi="Arial" w:cs="Arial"/>
        </w:rPr>
      </w:pPr>
    </w:p>
    <w:p w14:paraId="519BAE30" w14:textId="77777777" w:rsidR="00CD0445" w:rsidRPr="00C011AE" w:rsidRDefault="00CD0445" w:rsidP="00CD0445">
      <w:pPr>
        <w:pStyle w:val="BodyText"/>
        <w:tabs>
          <w:tab w:val="left" w:pos="1260"/>
        </w:tabs>
        <w:spacing w:before="120" w:after="120" w:line="320" w:lineRule="atLeast"/>
        <w:jc w:val="both"/>
        <w:rPr>
          <w:rFonts w:ascii="Arial" w:hAnsi="Arial" w:cs="Arial"/>
        </w:rPr>
      </w:pPr>
    </w:p>
    <w:p w14:paraId="42D50E62" w14:textId="77777777" w:rsidR="00CD0445" w:rsidRPr="00C011AE" w:rsidRDefault="00CD0445" w:rsidP="00CD0445">
      <w:pPr>
        <w:pStyle w:val="BodyText"/>
        <w:tabs>
          <w:tab w:val="left" w:pos="1260"/>
        </w:tabs>
        <w:spacing w:before="120" w:after="120" w:line="320" w:lineRule="atLeast"/>
        <w:jc w:val="both"/>
        <w:rPr>
          <w:rFonts w:ascii="Arial" w:hAnsi="Arial" w:cs="Arial"/>
        </w:rPr>
      </w:pPr>
    </w:p>
    <w:p w14:paraId="412C628F" w14:textId="77777777" w:rsidR="00CD0445" w:rsidRPr="00C011AE" w:rsidRDefault="00CD0445" w:rsidP="00CD0445">
      <w:pPr>
        <w:pStyle w:val="BodyText"/>
        <w:tabs>
          <w:tab w:val="left" w:pos="1260"/>
        </w:tabs>
        <w:spacing w:before="120" w:after="120" w:line="320" w:lineRule="atLeast"/>
        <w:jc w:val="both"/>
        <w:rPr>
          <w:rFonts w:ascii="Arial" w:hAnsi="Arial" w:cs="Arial"/>
        </w:rPr>
      </w:pPr>
    </w:p>
    <w:p w14:paraId="1B7B89A3" w14:textId="77777777" w:rsidR="00CD0445" w:rsidRPr="00C011AE" w:rsidRDefault="00CD0445" w:rsidP="00CD0445">
      <w:pPr>
        <w:pStyle w:val="BodyText"/>
        <w:tabs>
          <w:tab w:val="left" w:pos="1260"/>
        </w:tabs>
        <w:spacing w:before="120" w:after="120" w:line="320" w:lineRule="atLeast"/>
        <w:jc w:val="both"/>
        <w:rPr>
          <w:rFonts w:ascii="Arial" w:hAnsi="Arial" w:cs="Arial"/>
        </w:rPr>
      </w:pPr>
    </w:p>
    <w:p w14:paraId="7CCEE335" w14:textId="77777777" w:rsidR="00CD0445" w:rsidRPr="00C011AE" w:rsidRDefault="00CD0445" w:rsidP="00CD0445">
      <w:pPr>
        <w:pStyle w:val="BodyText"/>
        <w:tabs>
          <w:tab w:val="left" w:pos="1260"/>
        </w:tabs>
        <w:spacing w:before="120" w:after="120" w:line="320" w:lineRule="atLeast"/>
        <w:jc w:val="both"/>
        <w:rPr>
          <w:rFonts w:ascii="Arial" w:hAnsi="Arial" w:cs="Arial"/>
        </w:rPr>
      </w:pPr>
    </w:p>
    <w:p w14:paraId="245F3B15" w14:textId="77777777" w:rsidR="00CD0445" w:rsidRPr="00C011AE" w:rsidRDefault="00CD0445" w:rsidP="00CD0445">
      <w:pPr>
        <w:pStyle w:val="BodyText"/>
        <w:tabs>
          <w:tab w:val="left" w:pos="1260"/>
        </w:tabs>
        <w:spacing w:before="120" w:after="120" w:line="320" w:lineRule="atLeast"/>
        <w:jc w:val="both"/>
        <w:rPr>
          <w:rFonts w:ascii="Arial" w:hAnsi="Arial" w:cs="Arial"/>
        </w:rPr>
      </w:pPr>
    </w:p>
    <w:p w14:paraId="30EEF0D9" w14:textId="77777777" w:rsidR="00CD0445" w:rsidRPr="00C011AE" w:rsidRDefault="00CD0445" w:rsidP="00CD0445">
      <w:pPr>
        <w:pStyle w:val="BodyText"/>
        <w:tabs>
          <w:tab w:val="left" w:pos="1260"/>
        </w:tabs>
        <w:spacing w:before="120" w:after="120" w:line="320" w:lineRule="atLeast"/>
        <w:jc w:val="both"/>
        <w:rPr>
          <w:rFonts w:ascii="Arial" w:hAnsi="Arial" w:cs="Arial"/>
        </w:rPr>
      </w:pPr>
    </w:p>
    <w:p w14:paraId="152D1E87" w14:textId="77777777" w:rsidR="00CD0445" w:rsidRPr="00C011AE" w:rsidRDefault="00CD0445" w:rsidP="00CD0445">
      <w:pPr>
        <w:pStyle w:val="BodyText"/>
        <w:tabs>
          <w:tab w:val="left" w:pos="1260"/>
        </w:tabs>
        <w:spacing w:before="120" w:after="120" w:line="320" w:lineRule="atLeast"/>
        <w:jc w:val="both"/>
        <w:rPr>
          <w:rFonts w:ascii="Arial" w:hAnsi="Arial" w:cs="Arial"/>
        </w:rPr>
      </w:pPr>
    </w:p>
    <w:p w14:paraId="2BEF3920" w14:textId="77777777" w:rsidR="00CD0445" w:rsidRPr="00C011AE" w:rsidRDefault="00CD0445" w:rsidP="00CD0445">
      <w:pPr>
        <w:pStyle w:val="BodyText"/>
        <w:tabs>
          <w:tab w:val="left" w:pos="1260"/>
        </w:tabs>
        <w:spacing w:before="120" w:after="120" w:line="320" w:lineRule="atLeast"/>
        <w:jc w:val="both"/>
        <w:rPr>
          <w:rFonts w:ascii="Arial" w:hAnsi="Arial" w:cs="Arial"/>
        </w:rPr>
      </w:pPr>
    </w:p>
    <w:p w14:paraId="31C05AF9" w14:textId="77777777" w:rsidR="00CD0445" w:rsidRPr="00C011AE" w:rsidRDefault="00CD0445" w:rsidP="00CD0445">
      <w:pPr>
        <w:pStyle w:val="BodyText"/>
        <w:tabs>
          <w:tab w:val="left" w:pos="1260"/>
        </w:tabs>
        <w:spacing w:before="120" w:after="120" w:line="320" w:lineRule="atLeast"/>
        <w:jc w:val="both"/>
        <w:rPr>
          <w:rFonts w:ascii="Arial" w:hAnsi="Arial" w:cs="Arial"/>
        </w:rPr>
      </w:pPr>
    </w:p>
    <w:p w14:paraId="2556F4AF" w14:textId="77777777" w:rsidR="00CD0445" w:rsidRPr="00C011AE" w:rsidRDefault="00CD0445" w:rsidP="00CD0445">
      <w:pPr>
        <w:pStyle w:val="BodyText"/>
        <w:tabs>
          <w:tab w:val="left" w:pos="1260"/>
        </w:tabs>
        <w:spacing w:before="120" w:after="120" w:line="320" w:lineRule="atLeast"/>
        <w:jc w:val="both"/>
        <w:rPr>
          <w:rFonts w:ascii="Arial" w:hAnsi="Arial" w:cs="Arial"/>
        </w:rPr>
      </w:pPr>
    </w:p>
    <w:p w14:paraId="4F5FEAAB" w14:textId="77777777" w:rsidR="00CD0445" w:rsidRPr="00C011AE" w:rsidRDefault="00CD0445" w:rsidP="00CD0445">
      <w:pPr>
        <w:pStyle w:val="BodyText"/>
        <w:tabs>
          <w:tab w:val="left" w:pos="1260"/>
        </w:tabs>
        <w:spacing w:before="120" w:after="120" w:line="320" w:lineRule="atLeast"/>
        <w:jc w:val="both"/>
        <w:rPr>
          <w:rFonts w:ascii="Arial" w:hAnsi="Arial" w:cs="Arial"/>
        </w:rPr>
      </w:pPr>
    </w:p>
    <w:p w14:paraId="68828365" w14:textId="77777777" w:rsidR="00CD0445" w:rsidRPr="00C011AE" w:rsidRDefault="00CD0445" w:rsidP="00CD0445">
      <w:pPr>
        <w:pStyle w:val="BodyText"/>
        <w:tabs>
          <w:tab w:val="left" w:pos="1260"/>
        </w:tabs>
        <w:spacing w:before="120" w:after="120" w:line="320" w:lineRule="atLeast"/>
        <w:jc w:val="both"/>
        <w:rPr>
          <w:rFonts w:ascii="Arial" w:hAnsi="Arial" w:cs="Arial"/>
        </w:rPr>
      </w:pPr>
    </w:p>
    <w:p w14:paraId="46D4612D" w14:textId="77777777" w:rsidR="00CD0445" w:rsidRPr="00C011AE" w:rsidRDefault="00CD0445" w:rsidP="00CD0445">
      <w:pPr>
        <w:pStyle w:val="BodyText"/>
        <w:tabs>
          <w:tab w:val="left" w:pos="1260"/>
        </w:tabs>
        <w:spacing w:before="120" w:after="120" w:line="320" w:lineRule="atLeast"/>
        <w:jc w:val="both"/>
        <w:rPr>
          <w:rFonts w:ascii="Arial" w:hAnsi="Arial" w:cs="Arial"/>
        </w:rPr>
      </w:pPr>
    </w:p>
    <w:p w14:paraId="1F8CF638" w14:textId="77777777" w:rsidR="00CD0445" w:rsidRPr="00C011AE" w:rsidRDefault="00CD0445" w:rsidP="00CD0445">
      <w:pPr>
        <w:pStyle w:val="BodyText"/>
        <w:tabs>
          <w:tab w:val="left" w:pos="1260"/>
        </w:tabs>
        <w:spacing w:before="120" w:after="120" w:line="320" w:lineRule="atLeast"/>
        <w:jc w:val="both"/>
        <w:rPr>
          <w:rFonts w:ascii="Arial" w:hAnsi="Arial" w:cs="Arial"/>
        </w:rPr>
      </w:pPr>
    </w:p>
    <w:p w14:paraId="74B30926" w14:textId="77777777" w:rsidR="00CD0445" w:rsidRPr="00C011AE" w:rsidRDefault="00CD0445" w:rsidP="00CD0445">
      <w:pPr>
        <w:pStyle w:val="BodyText"/>
        <w:tabs>
          <w:tab w:val="left" w:pos="1260"/>
        </w:tabs>
        <w:spacing w:before="120" w:after="120" w:line="320" w:lineRule="atLeast"/>
        <w:jc w:val="both"/>
        <w:rPr>
          <w:rFonts w:ascii="Arial" w:hAnsi="Arial" w:cs="Arial"/>
        </w:rPr>
      </w:pPr>
    </w:p>
    <w:p w14:paraId="7E98D8B9" w14:textId="77777777" w:rsidR="005B1D9B" w:rsidRDefault="005B1D9B" w:rsidP="00CD0445">
      <w:pPr>
        <w:pStyle w:val="BodyText"/>
        <w:tabs>
          <w:tab w:val="left" w:pos="1260"/>
        </w:tabs>
        <w:spacing w:before="120" w:after="120" w:line="320" w:lineRule="atLeast"/>
        <w:jc w:val="both"/>
        <w:rPr>
          <w:rFonts w:ascii="Arial" w:hAnsi="Arial" w:cs="Arial"/>
        </w:rPr>
      </w:pPr>
    </w:p>
    <w:p w14:paraId="2F16FA58" w14:textId="77777777" w:rsidR="005B1D9B" w:rsidRDefault="005B1D9B" w:rsidP="005B1D9B">
      <w:pPr>
        <w:pStyle w:val="Footer"/>
        <w:tabs>
          <w:tab w:val="clear" w:pos="4320"/>
          <w:tab w:val="clear" w:pos="8640"/>
        </w:tabs>
        <w:spacing w:before="120" w:line="320" w:lineRule="atLeast"/>
        <w:jc w:val="center"/>
        <w:rPr>
          <w:rFonts w:ascii="Arial" w:hAnsi="Arial" w:cs="Arial"/>
          <w:b/>
          <w:bCs/>
          <w:iCs/>
          <w:sz w:val="28"/>
        </w:rPr>
      </w:pPr>
      <w:r>
        <w:rPr>
          <w:rFonts w:ascii="Arial" w:hAnsi="Arial" w:cs="Arial"/>
          <w:b/>
          <w:bCs/>
          <w:iCs/>
          <w:sz w:val="28"/>
        </w:rPr>
        <w:t>STAFF PROVIDING SIGNIFICANT</w:t>
      </w:r>
    </w:p>
    <w:p w14:paraId="1F8EDC42" w14:textId="77777777" w:rsidR="005B1D9B" w:rsidRDefault="005B1D9B" w:rsidP="005B1D9B">
      <w:pPr>
        <w:pStyle w:val="Footer"/>
        <w:tabs>
          <w:tab w:val="clear" w:pos="4320"/>
          <w:tab w:val="clear" w:pos="8640"/>
        </w:tabs>
        <w:spacing w:after="120" w:line="320" w:lineRule="atLeast"/>
        <w:jc w:val="center"/>
        <w:rPr>
          <w:rFonts w:ascii="Arial" w:hAnsi="Arial" w:cs="Arial"/>
          <w:iCs/>
        </w:rPr>
      </w:pPr>
      <w:r>
        <w:rPr>
          <w:rFonts w:ascii="Arial" w:hAnsi="Arial" w:cs="Arial"/>
          <w:b/>
          <w:bCs/>
          <w:iCs/>
          <w:sz w:val="28"/>
        </w:rPr>
        <w:t>MASS APPRAISAL ASSISTANCE</w:t>
      </w:r>
    </w:p>
    <w:p w14:paraId="46A4A518" w14:textId="77777777" w:rsidR="005B1D9B" w:rsidRDefault="005B1D9B" w:rsidP="005B1D9B">
      <w:pPr>
        <w:spacing w:after="240"/>
        <w:jc w:val="center"/>
        <w:rPr>
          <w:rFonts w:ascii="Arial" w:hAnsi="Arial" w:cs="Arial"/>
          <w:b/>
          <w:i/>
        </w:rPr>
      </w:pPr>
      <w:r>
        <w:rPr>
          <w:rFonts w:ascii="Arial" w:hAnsi="Arial" w:cs="Arial"/>
          <w:b/>
          <w:i/>
        </w:rPr>
        <w:t>Attachment A</w:t>
      </w:r>
    </w:p>
    <w:p w14:paraId="355E70BF" w14:textId="77777777" w:rsidR="005B1D9B" w:rsidRDefault="005B1D9B" w:rsidP="005B1D9B">
      <w:pPr>
        <w:spacing w:after="160"/>
        <w:rPr>
          <w:rFonts w:ascii="Arial" w:hAnsi="Arial" w:cs="Arial"/>
          <w:b/>
          <w:i/>
        </w:rPr>
      </w:pPr>
      <w:r w:rsidRPr="00294AFF">
        <w:rPr>
          <w:rFonts w:ascii="Arial" w:hAnsi="Arial" w:cs="Arial"/>
          <w:b/>
          <w:i/>
        </w:rPr>
        <w:t>Wardlaw Appraisal Group Personnel</w:t>
      </w:r>
    </w:p>
    <w:tbl>
      <w:tblPr>
        <w:tblW w:w="9330" w:type="dxa"/>
        <w:jc w:val="center"/>
        <w:tblLook w:val="04A0" w:firstRow="1" w:lastRow="0" w:firstColumn="1" w:lastColumn="0" w:noHBand="0" w:noVBand="1"/>
      </w:tblPr>
      <w:tblGrid>
        <w:gridCol w:w="3405"/>
        <w:gridCol w:w="3049"/>
        <w:gridCol w:w="2876"/>
      </w:tblGrid>
      <w:tr w:rsidR="005B1D9B" w:rsidRPr="008362A1" w14:paraId="7845AD08" w14:textId="77777777" w:rsidTr="005B1D9B">
        <w:trPr>
          <w:trHeight w:val="390"/>
          <w:jc w:val="center"/>
        </w:trPr>
        <w:tc>
          <w:tcPr>
            <w:tcW w:w="9330" w:type="dxa"/>
            <w:gridSpan w:val="3"/>
            <w:tcBorders>
              <w:top w:val="single" w:sz="12" w:space="0" w:color="BFBFBF"/>
              <w:left w:val="single" w:sz="12" w:space="0" w:color="BFBFBF"/>
              <w:bottom w:val="single" w:sz="4" w:space="0" w:color="BFBFBF"/>
              <w:right w:val="single" w:sz="12" w:space="0" w:color="BFBFBF"/>
            </w:tcBorders>
            <w:shd w:val="clear" w:color="000000" w:fill="D8D8D8"/>
            <w:noWrap/>
            <w:vAlign w:val="bottom"/>
            <w:hideMark/>
          </w:tcPr>
          <w:p w14:paraId="44AE92E1" w14:textId="77777777" w:rsidR="005B1D9B" w:rsidRPr="008362A1" w:rsidRDefault="005B1D9B" w:rsidP="005B1D9B">
            <w:pPr>
              <w:spacing w:after="160"/>
              <w:rPr>
                <w:rFonts w:ascii="Arial" w:hAnsi="Arial" w:cs="Arial"/>
                <w:b/>
                <w:bCs/>
              </w:rPr>
            </w:pPr>
            <w:r w:rsidRPr="008362A1">
              <w:rPr>
                <w:rFonts w:ascii="Arial" w:hAnsi="Arial" w:cs="Arial"/>
                <w:b/>
                <w:bCs/>
              </w:rPr>
              <w:t>PROPERTY TAX APPRAISER CERTIFICATION</w:t>
            </w:r>
          </w:p>
        </w:tc>
      </w:tr>
      <w:tr w:rsidR="005B1D9B" w:rsidRPr="008362A1" w14:paraId="65EB4D64" w14:textId="77777777" w:rsidTr="00512503">
        <w:trPr>
          <w:trHeight w:val="375"/>
          <w:jc w:val="center"/>
        </w:trPr>
        <w:tc>
          <w:tcPr>
            <w:tcW w:w="3405" w:type="dxa"/>
            <w:tcBorders>
              <w:top w:val="nil"/>
              <w:left w:val="single" w:sz="12" w:space="0" w:color="BFBFBF"/>
              <w:bottom w:val="single" w:sz="4" w:space="0" w:color="BFBFBF"/>
              <w:right w:val="single" w:sz="4" w:space="0" w:color="BFBFBF"/>
            </w:tcBorders>
            <w:noWrap/>
            <w:vAlign w:val="bottom"/>
            <w:hideMark/>
          </w:tcPr>
          <w:p w14:paraId="240C104E" w14:textId="77777777" w:rsidR="005B1D9B" w:rsidRPr="008362A1" w:rsidRDefault="005B1D9B" w:rsidP="005B1D9B">
            <w:pPr>
              <w:spacing w:after="160"/>
              <w:rPr>
                <w:rFonts w:ascii="Arial" w:hAnsi="Arial" w:cs="Arial"/>
                <w:b/>
                <w:bCs/>
                <w:i/>
                <w:iCs/>
              </w:rPr>
            </w:pPr>
            <w:r w:rsidRPr="008362A1">
              <w:rPr>
                <w:rFonts w:ascii="Arial" w:hAnsi="Arial" w:cs="Arial"/>
                <w:b/>
                <w:bCs/>
                <w:i/>
                <w:iCs/>
              </w:rPr>
              <w:t>TDLR #</w:t>
            </w:r>
          </w:p>
        </w:tc>
        <w:tc>
          <w:tcPr>
            <w:tcW w:w="3049" w:type="dxa"/>
            <w:tcBorders>
              <w:top w:val="nil"/>
              <w:left w:val="nil"/>
              <w:bottom w:val="single" w:sz="4" w:space="0" w:color="BFBFBF"/>
              <w:right w:val="single" w:sz="4" w:space="0" w:color="BFBFBF"/>
            </w:tcBorders>
            <w:noWrap/>
            <w:vAlign w:val="bottom"/>
            <w:hideMark/>
          </w:tcPr>
          <w:p w14:paraId="7DDA58AC" w14:textId="77777777" w:rsidR="005B1D9B" w:rsidRPr="008362A1" w:rsidRDefault="005B1D9B" w:rsidP="005B1D9B">
            <w:pPr>
              <w:spacing w:after="160"/>
              <w:rPr>
                <w:rFonts w:ascii="Arial" w:hAnsi="Arial" w:cs="Arial"/>
                <w:b/>
                <w:bCs/>
                <w:i/>
                <w:iCs/>
              </w:rPr>
            </w:pPr>
            <w:r w:rsidRPr="008362A1">
              <w:rPr>
                <w:rFonts w:ascii="Arial" w:hAnsi="Arial" w:cs="Arial"/>
                <w:b/>
                <w:bCs/>
                <w:i/>
                <w:iCs/>
              </w:rPr>
              <w:t>NAME</w:t>
            </w:r>
          </w:p>
        </w:tc>
        <w:tc>
          <w:tcPr>
            <w:tcW w:w="2876" w:type="dxa"/>
            <w:tcBorders>
              <w:top w:val="nil"/>
              <w:left w:val="nil"/>
              <w:bottom w:val="single" w:sz="4" w:space="0" w:color="BFBFBF"/>
              <w:right w:val="single" w:sz="12" w:space="0" w:color="BFBFBF"/>
            </w:tcBorders>
            <w:noWrap/>
            <w:vAlign w:val="bottom"/>
            <w:hideMark/>
          </w:tcPr>
          <w:p w14:paraId="3C88C49B" w14:textId="77777777" w:rsidR="005B1D9B" w:rsidRPr="008362A1" w:rsidRDefault="005B1D9B" w:rsidP="005B1D9B">
            <w:pPr>
              <w:spacing w:after="160"/>
              <w:rPr>
                <w:rFonts w:ascii="Arial" w:hAnsi="Arial" w:cs="Arial"/>
                <w:b/>
                <w:bCs/>
                <w:i/>
                <w:iCs/>
              </w:rPr>
            </w:pPr>
            <w:r w:rsidRPr="008362A1">
              <w:rPr>
                <w:rFonts w:ascii="Arial" w:hAnsi="Arial" w:cs="Arial"/>
                <w:b/>
                <w:bCs/>
                <w:i/>
                <w:iCs/>
              </w:rPr>
              <w:t>TYPE</w:t>
            </w:r>
          </w:p>
        </w:tc>
      </w:tr>
      <w:tr w:rsidR="005B1D9B" w:rsidRPr="008362A1" w14:paraId="772C638C" w14:textId="77777777" w:rsidTr="00512503">
        <w:trPr>
          <w:trHeight w:val="375"/>
          <w:jc w:val="center"/>
        </w:trPr>
        <w:tc>
          <w:tcPr>
            <w:tcW w:w="3405" w:type="dxa"/>
            <w:tcBorders>
              <w:top w:val="nil"/>
              <w:left w:val="single" w:sz="12" w:space="0" w:color="BFBFBF"/>
              <w:bottom w:val="single" w:sz="4" w:space="0" w:color="BFBFBF"/>
              <w:right w:val="single" w:sz="4" w:space="0" w:color="BFBFBF"/>
            </w:tcBorders>
            <w:noWrap/>
            <w:vAlign w:val="center"/>
            <w:hideMark/>
          </w:tcPr>
          <w:p w14:paraId="0F04E26D" w14:textId="77777777" w:rsidR="005B1D9B" w:rsidRPr="008362A1" w:rsidRDefault="005B1D9B" w:rsidP="005B1D9B">
            <w:pPr>
              <w:rPr>
                <w:rFonts w:ascii="Arial" w:hAnsi="Arial" w:cs="Arial"/>
              </w:rPr>
            </w:pPr>
            <w:r w:rsidRPr="008362A1">
              <w:rPr>
                <w:rFonts w:ascii="Arial" w:hAnsi="Arial" w:cs="Arial"/>
              </w:rPr>
              <w:t>74200</w:t>
            </w:r>
          </w:p>
        </w:tc>
        <w:tc>
          <w:tcPr>
            <w:tcW w:w="3049" w:type="dxa"/>
            <w:tcBorders>
              <w:top w:val="nil"/>
              <w:left w:val="nil"/>
              <w:bottom w:val="single" w:sz="4" w:space="0" w:color="BFBFBF"/>
              <w:right w:val="single" w:sz="4" w:space="0" w:color="BFBFBF"/>
            </w:tcBorders>
            <w:noWrap/>
            <w:vAlign w:val="center"/>
            <w:hideMark/>
          </w:tcPr>
          <w:p w14:paraId="496F350E" w14:textId="77777777" w:rsidR="005B1D9B" w:rsidRPr="008362A1" w:rsidRDefault="005B1D9B" w:rsidP="005B1D9B">
            <w:pPr>
              <w:rPr>
                <w:rFonts w:ascii="Arial" w:hAnsi="Arial" w:cs="Arial"/>
              </w:rPr>
            </w:pPr>
            <w:r w:rsidRPr="008362A1">
              <w:rPr>
                <w:rFonts w:ascii="Arial" w:hAnsi="Arial" w:cs="Arial"/>
              </w:rPr>
              <w:t>CRAIN, MALLORY M</w:t>
            </w:r>
            <w:r>
              <w:rPr>
                <w:rFonts w:ascii="Arial" w:hAnsi="Arial" w:cs="Arial"/>
              </w:rPr>
              <w:t>.</w:t>
            </w:r>
          </w:p>
        </w:tc>
        <w:tc>
          <w:tcPr>
            <w:tcW w:w="2876" w:type="dxa"/>
            <w:tcBorders>
              <w:top w:val="nil"/>
              <w:left w:val="nil"/>
              <w:bottom w:val="single" w:sz="4" w:space="0" w:color="BFBFBF"/>
              <w:right w:val="single" w:sz="12" w:space="0" w:color="BFBFBF"/>
            </w:tcBorders>
            <w:noWrap/>
            <w:vAlign w:val="center"/>
            <w:hideMark/>
          </w:tcPr>
          <w:p w14:paraId="4A534289" w14:textId="77777777" w:rsidR="005B1D9B" w:rsidRPr="008362A1" w:rsidRDefault="005B1D9B" w:rsidP="005B1D9B">
            <w:pPr>
              <w:rPr>
                <w:rFonts w:ascii="Arial" w:hAnsi="Arial" w:cs="Arial"/>
              </w:rPr>
            </w:pPr>
            <w:r w:rsidRPr="008362A1">
              <w:rPr>
                <w:rFonts w:ascii="Arial" w:hAnsi="Arial" w:cs="Arial"/>
              </w:rPr>
              <w:t>APPRAISER</w:t>
            </w:r>
            <w:r>
              <w:rPr>
                <w:rFonts w:ascii="Arial" w:hAnsi="Arial" w:cs="Arial"/>
              </w:rPr>
              <w:t>, RPA</w:t>
            </w:r>
          </w:p>
        </w:tc>
      </w:tr>
      <w:tr w:rsidR="005B1D9B" w:rsidRPr="008362A1" w14:paraId="6482EA0A" w14:textId="77777777" w:rsidTr="00512503">
        <w:trPr>
          <w:trHeight w:val="375"/>
          <w:jc w:val="center"/>
        </w:trPr>
        <w:tc>
          <w:tcPr>
            <w:tcW w:w="3405" w:type="dxa"/>
            <w:tcBorders>
              <w:top w:val="nil"/>
              <w:left w:val="single" w:sz="12" w:space="0" w:color="BFBFBF"/>
              <w:bottom w:val="single" w:sz="4" w:space="0" w:color="BFBFBF"/>
              <w:right w:val="single" w:sz="4" w:space="0" w:color="BFBFBF"/>
            </w:tcBorders>
            <w:noWrap/>
            <w:vAlign w:val="center"/>
            <w:hideMark/>
          </w:tcPr>
          <w:p w14:paraId="7CF3F3A2" w14:textId="77777777" w:rsidR="005B1D9B" w:rsidRPr="008362A1" w:rsidRDefault="005B1D9B" w:rsidP="005B1D9B">
            <w:pPr>
              <w:rPr>
                <w:rFonts w:ascii="Arial" w:hAnsi="Arial" w:cs="Arial"/>
              </w:rPr>
            </w:pPr>
            <w:r>
              <w:rPr>
                <w:rFonts w:ascii="Arial" w:hAnsi="Arial" w:cs="Arial"/>
              </w:rPr>
              <w:t>74717</w:t>
            </w:r>
          </w:p>
        </w:tc>
        <w:tc>
          <w:tcPr>
            <w:tcW w:w="3049" w:type="dxa"/>
            <w:tcBorders>
              <w:top w:val="nil"/>
              <w:left w:val="nil"/>
              <w:bottom w:val="single" w:sz="4" w:space="0" w:color="BFBFBF"/>
              <w:right w:val="single" w:sz="4" w:space="0" w:color="BFBFBF"/>
            </w:tcBorders>
            <w:noWrap/>
            <w:vAlign w:val="center"/>
            <w:hideMark/>
          </w:tcPr>
          <w:p w14:paraId="35D67EC5" w14:textId="77777777" w:rsidR="005B1D9B" w:rsidRPr="008362A1" w:rsidRDefault="005B1D9B" w:rsidP="005B1D9B">
            <w:pPr>
              <w:rPr>
                <w:rFonts w:ascii="Arial" w:hAnsi="Arial" w:cs="Arial"/>
              </w:rPr>
            </w:pPr>
            <w:r>
              <w:rPr>
                <w:rFonts w:ascii="Arial" w:hAnsi="Arial" w:cs="Arial"/>
              </w:rPr>
              <w:t>SHERWIN, PROCTOR</w:t>
            </w:r>
          </w:p>
        </w:tc>
        <w:tc>
          <w:tcPr>
            <w:tcW w:w="2876" w:type="dxa"/>
            <w:tcBorders>
              <w:top w:val="nil"/>
              <w:left w:val="nil"/>
              <w:bottom w:val="single" w:sz="4" w:space="0" w:color="BFBFBF"/>
              <w:right w:val="single" w:sz="12" w:space="0" w:color="BFBFBF"/>
            </w:tcBorders>
            <w:noWrap/>
            <w:vAlign w:val="center"/>
            <w:hideMark/>
          </w:tcPr>
          <w:p w14:paraId="00CA1B38" w14:textId="77777777" w:rsidR="005B1D9B" w:rsidRPr="008362A1" w:rsidRDefault="005B1D9B" w:rsidP="005B1D9B">
            <w:pPr>
              <w:rPr>
                <w:rFonts w:ascii="Arial" w:hAnsi="Arial" w:cs="Arial"/>
              </w:rPr>
            </w:pPr>
            <w:r>
              <w:rPr>
                <w:rFonts w:ascii="Arial" w:hAnsi="Arial" w:cs="Arial"/>
              </w:rPr>
              <w:t>APPRAISER, RPA</w:t>
            </w:r>
          </w:p>
        </w:tc>
      </w:tr>
      <w:tr w:rsidR="005B1D9B" w:rsidRPr="008362A1" w14:paraId="526AB448" w14:textId="77777777" w:rsidTr="00512503">
        <w:trPr>
          <w:trHeight w:val="375"/>
          <w:jc w:val="center"/>
        </w:trPr>
        <w:tc>
          <w:tcPr>
            <w:tcW w:w="3405" w:type="dxa"/>
            <w:tcBorders>
              <w:top w:val="nil"/>
              <w:left w:val="single" w:sz="12" w:space="0" w:color="BFBFBF"/>
              <w:bottom w:val="single" w:sz="4" w:space="0" w:color="BFBFBF"/>
              <w:right w:val="single" w:sz="4" w:space="0" w:color="BFBFBF"/>
            </w:tcBorders>
            <w:noWrap/>
            <w:vAlign w:val="center"/>
            <w:hideMark/>
          </w:tcPr>
          <w:p w14:paraId="0D597268" w14:textId="77777777" w:rsidR="005B1D9B" w:rsidRPr="008362A1" w:rsidRDefault="005B1D9B" w:rsidP="005B1D9B">
            <w:pPr>
              <w:rPr>
                <w:rFonts w:ascii="Arial" w:hAnsi="Arial" w:cs="Arial"/>
              </w:rPr>
            </w:pPr>
            <w:r w:rsidRPr="008362A1">
              <w:rPr>
                <w:rFonts w:ascii="Arial" w:hAnsi="Arial" w:cs="Arial"/>
              </w:rPr>
              <w:t>66026</w:t>
            </w:r>
          </w:p>
        </w:tc>
        <w:tc>
          <w:tcPr>
            <w:tcW w:w="3049" w:type="dxa"/>
            <w:tcBorders>
              <w:top w:val="nil"/>
              <w:left w:val="nil"/>
              <w:bottom w:val="single" w:sz="4" w:space="0" w:color="BFBFBF"/>
              <w:right w:val="single" w:sz="4" w:space="0" w:color="BFBFBF"/>
            </w:tcBorders>
            <w:noWrap/>
            <w:vAlign w:val="center"/>
            <w:hideMark/>
          </w:tcPr>
          <w:p w14:paraId="3B86A685" w14:textId="77777777" w:rsidR="005B1D9B" w:rsidRPr="008362A1" w:rsidRDefault="005B1D9B" w:rsidP="005B1D9B">
            <w:pPr>
              <w:rPr>
                <w:rFonts w:ascii="Arial" w:hAnsi="Arial" w:cs="Arial"/>
              </w:rPr>
            </w:pPr>
            <w:r w:rsidRPr="008362A1">
              <w:rPr>
                <w:rFonts w:ascii="Arial" w:hAnsi="Arial" w:cs="Arial"/>
              </w:rPr>
              <w:t>WARDLAW, MARGARET A</w:t>
            </w:r>
            <w:r>
              <w:rPr>
                <w:rFonts w:ascii="Arial" w:hAnsi="Arial" w:cs="Arial"/>
              </w:rPr>
              <w:t>.</w:t>
            </w:r>
          </w:p>
        </w:tc>
        <w:tc>
          <w:tcPr>
            <w:tcW w:w="2876" w:type="dxa"/>
            <w:tcBorders>
              <w:top w:val="nil"/>
              <w:left w:val="nil"/>
              <w:bottom w:val="single" w:sz="4" w:space="0" w:color="BFBFBF"/>
              <w:right w:val="single" w:sz="12" w:space="0" w:color="BFBFBF"/>
            </w:tcBorders>
            <w:noWrap/>
            <w:vAlign w:val="center"/>
            <w:hideMark/>
          </w:tcPr>
          <w:p w14:paraId="37AF12A2" w14:textId="77777777" w:rsidR="005B1D9B" w:rsidRPr="008362A1" w:rsidRDefault="005B1D9B" w:rsidP="005B1D9B">
            <w:pPr>
              <w:rPr>
                <w:rFonts w:ascii="Arial" w:hAnsi="Arial" w:cs="Arial"/>
              </w:rPr>
            </w:pPr>
            <w:r w:rsidRPr="008362A1">
              <w:rPr>
                <w:rFonts w:ascii="Arial" w:hAnsi="Arial" w:cs="Arial"/>
              </w:rPr>
              <w:t>APPRAISER</w:t>
            </w:r>
            <w:r>
              <w:rPr>
                <w:rFonts w:ascii="Arial" w:hAnsi="Arial" w:cs="Arial"/>
              </w:rPr>
              <w:t>, RPA</w:t>
            </w:r>
          </w:p>
        </w:tc>
      </w:tr>
      <w:tr w:rsidR="005B1D9B" w:rsidRPr="008362A1" w14:paraId="6B228F6E" w14:textId="77777777" w:rsidTr="00512503">
        <w:trPr>
          <w:trHeight w:val="413"/>
          <w:jc w:val="center"/>
        </w:trPr>
        <w:tc>
          <w:tcPr>
            <w:tcW w:w="3405" w:type="dxa"/>
            <w:tcBorders>
              <w:top w:val="nil"/>
              <w:left w:val="single" w:sz="12" w:space="0" w:color="BFBFBF"/>
              <w:bottom w:val="single" w:sz="4" w:space="0" w:color="BFBFBF"/>
              <w:right w:val="single" w:sz="4" w:space="0" w:color="BFBFBF"/>
            </w:tcBorders>
            <w:noWrap/>
            <w:vAlign w:val="center"/>
          </w:tcPr>
          <w:p w14:paraId="6293096B" w14:textId="77777777" w:rsidR="005B1D9B" w:rsidRDefault="005B1D9B" w:rsidP="005B1D9B">
            <w:pPr>
              <w:rPr>
                <w:rFonts w:ascii="Arial" w:hAnsi="Arial" w:cs="Arial"/>
              </w:rPr>
            </w:pPr>
            <w:r>
              <w:rPr>
                <w:rFonts w:ascii="Arial" w:hAnsi="Arial" w:cs="Arial"/>
              </w:rPr>
              <w:t>67635</w:t>
            </w:r>
          </w:p>
        </w:tc>
        <w:tc>
          <w:tcPr>
            <w:tcW w:w="3049" w:type="dxa"/>
            <w:tcBorders>
              <w:top w:val="nil"/>
              <w:left w:val="nil"/>
              <w:bottom w:val="single" w:sz="4" w:space="0" w:color="BFBFBF"/>
              <w:right w:val="single" w:sz="4" w:space="0" w:color="BFBFBF"/>
            </w:tcBorders>
            <w:noWrap/>
            <w:vAlign w:val="center"/>
          </w:tcPr>
          <w:p w14:paraId="3DDD30DA" w14:textId="77777777" w:rsidR="005B1D9B" w:rsidRDefault="005B1D9B" w:rsidP="005B1D9B">
            <w:pPr>
              <w:rPr>
                <w:rFonts w:ascii="Arial" w:hAnsi="Arial" w:cs="Arial"/>
              </w:rPr>
            </w:pPr>
            <w:r>
              <w:rPr>
                <w:rFonts w:ascii="Arial" w:hAnsi="Arial" w:cs="Arial"/>
              </w:rPr>
              <w:t>VILLARREAL, MARTIN</w:t>
            </w:r>
          </w:p>
        </w:tc>
        <w:tc>
          <w:tcPr>
            <w:tcW w:w="2876" w:type="dxa"/>
            <w:tcBorders>
              <w:top w:val="nil"/>
              <w:left w:val="nil"/>
              <w:bottom w:val="single" w:sz="4" w:space="0" w:color="BFBFBF"/>
              <w:right w:val="single" w:sz="12" w:space="0" w:color="BFBFBF"/>
            </w:tcBorders>
            <w:noWrap/>
            <w:vAlign w:val="center"/>
          </w:tcPr>
          <w:p w14:paraId="69A7F302" w14:textId="77777777" w:rsidR="005B1D9B" w:rsidRDefault="005B1D9B" w:rsidP="005B1D9B">
            <w:pPr>
              <w:rPr>
                <w:rFonts w:ascii="Arial" w:hAnsi="Arial" w:cs="Arial"/>
              </w:rPr>
            </w:pPr>
            <w:r>
              <w:rPr>
                <w:rFonts w:ascii="Arial" w:hAnsi="Arial" w:cs="Arial"/>
              </w:rPr>
              <w:t>APPRAISER, RPA</w:t>
            </w:r>
          </w:p>
        </w:tc>
      </w:tr>
      <w:tr w:rsidR="005B1D9B" w:rsidRPr="008362A1" w14:paraId="38215BDD" w14:textId="77777777" w:rsidTr="00512503">
        <w:trPr>
          <w:trHeight w:val="413"/>
          <w:jc w:val="center"/>
        </w:trPr>
        <w:tc>
          <w:tcPr>
            <w:tcW w:w="3405" w:type="dxa"/>
            <w:tcBorders>
              <w:top w:val="nil"/>
              <w:left w:val="single" w:sz="12" w:space="0" w:color="BFBFBF"/>
              <w:bottom w:val="single" w:sz="4" w:space="0" w:color="BFBFBF"/>
              <w:right w:val="single" w:sz="4" w:space="0" w:color="BFBFBF"/>
            </w:tcBorders>
            <w:noWrap/>
            <w:vAlign w:val="center"/>
          </w:tcPr>
          <w:p w14:paraId="27E56AE5" w14:textId="77777777" w:rsidR="005B1D9B" w:rsidRDefault="005B1D9B" w:rsidP="005B1D9B">
            <w:pPr>
              <w:rPr>
                <w:rFonts w:ascii="Arial" w:hAnsi="Arial" w:cs="Arial"/>
              </w:rPr>
            </w:pPr>
            <w:r>
              <w:rPr>
                <w:rFonts w:ascii="Arial" w:hAnsi="Arial" w:cs="Arial"/>
              </w:rPr>
              <w:t>68139</w:t>
            </w:r>
          </w:p>
        </w:tc>
        <w:tc>
          <w:tcPr>
            <w:tcW w:w="3049" w:type="dxa"/>
            <w:tcBorders>
              <w:top w:val="nil"/>
              <w:left w:val="nil"/>
              <w:bottom w:val="single" w:sz="4" w:space="0" w:color="BFBFBF"/>
              <w:right w:val="single" w:sz="4" w:space="0" w:color="BFBFBF"/>
            </w:tcBorders>
            <w:noWrap/>
            <w:vAlign w:val="center"/>
          </w:tcPr>
          <w:p w14:paraId="2742974E" w14:textId="77777777" w:rsidR="005B1D9B" w:rsidRDefault="005B1D9B" w:rsidP="005B1D9B">
            <w:pPr>
              <w:rPr>
                <w:rFonts w:ascii="Arial" w:hAnsi="Arial" w:cs="Arial"/>
              </w:rPr>
            </w:pPr>
            <w:r>
              <w:rPr>
                <w:rFonts w:ascii="Arial" w:hAnsi="Arial" w:cs="Arial"/>
              </w:rPr>
              <w:t>WARDLAW, MALCOLM</w:t>
            </w:r>
          </w:p>
        </w:tc>
        <w:tc>
          <w:tcPr>
            <w:tcW w:w="2876" w:type="dxa"/>
            <w:tcBorders>
              <w:top w:val="nil"/>
              <w:left w:val="nil"/>
              <w:bottom w:val="single" w:sz="4" w:space="0" w:color="BFBFBF"/>
              <w:right w:val="single" w:sz="12" w:space="0" w:color="BFBFBF"/>
            </w:tcBorders>
            <w:noWrap/>
            <w:vAlign w:val="center"/>
          </w:tcPr>
          <w:p w14:paraId="40B34315" w14:textId="77777777" w:rsidR="005B1D9B" w:rsidRDefault="005B1D9B" w:rsidP="005B1D9B">
            <w:pPr>
              <w:rPr>
                <w:rFonts w:ascii="Arial" w:hAnsi="Arial" w:cs="Arial"/>
              </w:rPr>
            </w:pPr>
            <w:r>
              <w:rPr>
                <w:rFonts w:ascii="Arial" w:hAnsi="Arial" w:cs="Arial"/>
              </w:rPr>
              <w:t>APPRAISER, 3</w:t>
            </w:r>
          </w:p>
        </w:tc>
      </w:tr>
      <w:tr w:rsidR="005B1D9B" w:rsidRPr="008362A1" w14:paraId="0595A11C" w14:textId="77777777" w:rsidTr="00512503">
        <w:trPr>
          <w:trHeight w:val="413"/>
          <w:jc w:val="center"/>
        </w:trPr>
        <w:tc>
          <w:tcPr>
            <w:tcW w:w="3405" w:type="dxa"/>
            <w:tcBorders>
              <w:top w:val="nil"/>
              <w:left w:val="single" w:sz="12" w:space="0" w:color="BFBFBF"/>
              <w:bottom w:val="single" w:sz="4" w:space="0" w:color="BFBFBF"/>
              <w:right w:val="single" w:sz="4" w:space="0" w:color="BFBFBF"/>
            </w:tcBorders>
            <w:noWrap/>
            <w:vAlign w:val="center"/>
          </w:tcPr>
          <w:p w14:paraId="72CE01F4" w14:textId="77777777" w:rsidR="005B1D9B" w:rsidRPr="008362A1" w:rsidRDefault="005B1D9B" w:rsidP="005B1D9B">
            <w:pPr>
              <w:rPr>
                <w:rFonts w:ascii="Arial" w:hAnsi="Arial" w:cs="Arial"/>
              </w:rPr>
            </w:pPr>
            <w:r>
              <w:rPr>
                <w:rFonts w:ascii="Arial" w:hAnsi="Arial" w:cs="Arial"/>
              </w:rPr>
              <w:t>77317</w:t>
            </w:r>
          </w:p>
        </w:tc>
        <w:tc>
          <w:tcPr>
            <w:tcW w:w="3049" w:type="dxa"/>
            <w:tcBorders>
              <w:top w:val="nil"/>
              <w:left w:val="nil"/>
              <w:bottom w:val="single" w:sz="4" w:space="0" w:color="BFBFBF"/>
              <w:right w:val="single" w:sz="4" w:space="0" w:color="BFBFBF"/>
            </w:tcBorders>
            <w:noWrap/>
            <w:vAlign w:val="center"/>
          </w:tcPr>
          <w:p w14:paraId="642DD138" w14:textId="77777777" w:rsidR="005B1D9B" w:rsidRPr="008362A1" w:rsidRDefault="005B1D9B" w:rsidP="005B1D9B">
            <w:pPr>
              <w:rPr>
                <w:rFonts w:ascii="Arial" w:hAnsi="Arial" w:cs="Arial"/>
              </w:rPr>
            </w:pPr>
            <w:r>
              <w:rPr>
                <w:rFonts w:ascii="Arial" w:hAnsi="Arial" w:cs="Arial"/>
              </w:rPr>
              <w:t xml:space="preserve">MADDIN, ELIZABETH </w:t>
            </w:r>
          </w:p>
        </w:tc>
        <w:tc>
          <w:tcPr>
            <w:tcW w:w="2876" w:type="dxa"/>
            <w:tcBorders>
              <w:top w:val="nil"/>
              <w:left w:val="nil"/>
              <w:bottom w:val="single" w:sz="4" w:space="0" w:color="BFBFBF"/>
              <w:right w:val="single" w:sz="12" w:space="0" w:color="BFBFBF"/>
            </w:tcBorders>
            <w:noWrap/>
            <w:vAlign w:val="center"/>
          </w:tcPr>
          <w:p w14:paraId="4CC03A9E" w14:textId="77777777" w:rsidR="005B1D9B" w:rsidRPr="008362A1" w:rsidRDefault="005B1D9B" w:rsidP="005B1D9B">
            <w:pPr>
              <w:rPr>
                <w:rFonts w:ascii="Arial" w:hAnsi="Arial" w:cs="Arial"/>
              </w:rPr>
            </w:pPr>
            <w:r>
              <w:rPr>
                <w:rFonts w:ascii="Arial" w:hAnsi="Arial" w:cs="Arial"/>
              </w:rPr>
              <w:t>APPRAISER, 3</w:t>
            </w:r>
          </w:p>
        </w:tc>
      </w:tr>
      <w:tr w:rsidR="005B1D9B" w:rsidRPr="008362A1" w14:paraId="16364A52" w14:textId="77777777" w:rsidTr="00512503">
        <w:trPr>
          <w:trHeight w:val="413"/>
          <w:jc w:val="center"/>
        </w:trPr>
        <w:tc>
          <w:tcPr>
            <w:tcW w:w="3405" w:type="dxa"/>
            <w:tcBorders>
              <w:top w:val="nil"/>
              <w:left w:val="single" w:sz="12" w:space="0" w:color="BFBFBF"/>
              <w:bottom w:val="single" w:sz="4" w:space="0" w:color="BFBFBF"/>
              <w:right w:val="single" w:sz="4" w:space="0" w:color="BFBFBF"/>
            </w:tcBorders>
            <w:noWrap/>
            <w:vAlign w:val="center"/>
          </w:tcPr>
          <w:p w14:paraId="58525D40" w14:textId="77777777" w:rsidR="005B1D9B" w:rsidRDefault="005B1D9B" w:rsidP="005B1D9B">
            <w:pPr>
              <w:rPr>
                <w:rFonts w:ascii="Arial" w:hAnsi="Arial" w:cs="Arial"/>
              </w:rPr>
            </w:pPr>
            <w:r>
              <w:rPr>
                <w:rFonts w:ascii="Arial" w:hAnsi="Arial" w:cs="Arial"/>
              </w:rPr>
              <w:t>78046</w:t>
            </w:r>
          </w:p>
        </w:tc>
        <w:tc>
          <w:tcPr>
            <w:tcW w:w="3049" w:type="dxa"/>
            <w:tcBorders>
              <w:top w:val="nil"/>
              <w:left w:val="nil"/>
              <w:bottom w:val="single" w:sz="4" w:space="0" w:color="BFBFBF"/>
              <w:right w:val="single" w:sz="4" w:space="0" w:color="BFBFBF"/>
            </w:tcBorders>
            <w:noWrap/>
            <w:vAlign w:val="center"/>
          </w:tcPr>
          <w:p w14:paraId="6AD05549" w14:textId="77777777" w:rsidR="005B1D9B" w:rsidRDefault="005B1D9B" w:rsidP="005B1D9B">
            <w:pPr>
              <w:rPr>
                <w:rFonts w:ascii="Arial" w:hAnsi="Arial" w:cs="Arial"/>
              </w:rPr>
            </w:pPr>
            <w:r>
              <w:rPr>
                <w:rFonts w:ascii="Arial" w:hAnsi="Arial" w:cs="Arial"/>
              </w:rPr>
              <w:t>MCGINNIS, CLAIRE</w:t>
            </w:r>
          </w:p>
        </w:tc>
        <w:tc>
          <w:tcPr>
            <w:tcW w:w="2876" w:type="dxa"/>
            <w:tcBorders>
              <w:top w:val="nil"/>
              <w:left w:val="nil"/>
              <w:bottom w:val="single" w:sz="4" w:space="0" w:color="BFBFBF"/>
              <w:right w:val="single" w:sz="12" w:space="0" w:color="BFBFBF"/>
            </w:tcBorders>
            <w:noWrap/>
            <w:vAlign w:val="center"/>
          </w:tcPr>
          <w:p w14:paraId="5564C715" w14:textId="77777777" w:rsidR="005B1D9B" w:rsidRDefault="005B1D9B" w:rsidP="005B1D9B">
            <w:pPr>
              <w:rPr>
                <w:rFonts w:ascii="Arial" w:hAnsi="Arial" w:cs="Arial"/>
              </w:rPr>
            </w:pPr>
            <w:r>
              <w:rPr>
                <w:rFonts w:ascii="Arial" w:hAnsi="Arial" w:cs="Arial"/>
              </w:rPr>
              <w:t>APPRAISER, 3</w:t>
            </w:r>
          </w:p>
        </w:tc>
      </w:tr>
      <w:tr w:rsidR="005B1D9B" w:rsidRPr="008362A1" w14:paraId="585BB3ED" w14:textId="77777777" w:rsidTr="00512503">
        <w:trPr>
          <w:trHeight w:val="413"/>
          <w:jc w:val="center"/>
        </w:trPr>
        <w:tc>
          <w:tcPr>
            <w:tcW w:w="3405" w:type="dxa"/>
            <w:tcBorders>
              <w:top w:val="nil"/>
              <w:left w:val="single" w:sz="12" w:space="0" w:color="BFBFBF"/>
              <w:bottom w:val="single" w:sz="4" w:space="0" w:color="BFBFBF"/>
              <w:right w:val="single" w:sz="4" w:space="0" w:color="BFBFBF"/>
            </w:tcBorders>
            <w:noWrap/>
            <w:vAlign w:val="center"/>
          </w:tcPr>
          <w:p w14:paraId="3BCDEF86" w14:textId="77777777" w:rsidR="005B1D9B" w:rsidRDefault="005B1D9B" w:rsidP="005B1D9B">
            <w:pPr>
              <w:rPr>
                <w:rFonts w:ascii="Arial" w:hAnsi="Arial" w:cs="Arial"/>
              </w:rPr>
            </w:pPr>
            <w:r>
              <w:rPr>
                <w:rFonts w:ascii="Arial" w:hAnsi="Arial" w:cs="Arial"/>
              </w:rPr>
              <w:t>77854</w:t>
            </w:r>
          </w:p>
        </w:tc>
        <w:tc>
          <w:tcPr>
            <w:tcW w:w="3049" w:type="dxa"/>
            <w:tcBorders>
              <w:top w:val="nil"/>
              <w:left w:val="nil"/>
              <w:bottom w:val="single" w:sz="4" w:space="0" w:color="BFBFBF"/>
              <w:right w:val="single" w:sz="4" w:space="0" w:color="BFBFBF"/>
            </w:tcBorders>
            <w:noWrap/>
            <w:vAlign w:val="center"/>
          </w:tcPr>
          <w:p w14:paraId="666AC94F" w14:textId="77777777" w:rsidR="005B1D9B" w:rsidRDefault="005B1D9B" w:rsidP="005B1D9B">
            <w:pPr>
              <w:rPr>
                <w:rFonts w:ascii="Arial" w:hAnsi="Arial" w:cs="Arial"/>
              </w:rPr>
            </w:pPr>
            <w:r>
              <w:rPr>
                <w:rFonts w:ascii="Arial" w:hAnsi="Arial" w:cs="Arial"/>
              </w:rPr>
              <w:t>CASTRO, AMANDA</w:t>
            </w:r>
          </w:p>
        </w:tc>
        <w:tc>
          <w:tcPr>
            <w:tcW w:w="2876" w:type="dxa"/>
            <w:tcBorders>
              <w:top w:val="nil"/>
              <w:left w:val="nil"/>
              <w:bottom w:val="single" w:sz="4" w:space="0" w:color="BFBFBF"/>
              <w:right w:val="single" w:sz="12" w:space="0" w:color="BFBFBF"/>
            </w:tcBorders>
            <w:noWrap/>
            <w:vAlign w:val="center"/>
          </w:tcPr>
          <w:p w14:paraId="29B9CF8A" w14:textId="77777777" w:rsidR="005B1D9B" w:rsidRDefault="005B1D9B" w:rsidP="005B1D9B">
            <w:pPr>
              <w:rPr>
                <w:rFonts w:ascii="Arial" w:hAnsi="Arial" w:cs="Arial"/>
              </w:rPr>
            </w:pPr>
            <w:r>
              <w:rPr>
                <w:rFonts w:ascii="Arial" w:hAnsi="Arial" w:cs="Arial"/>
              </w:rPr>
              <w:t>APPRAISER, 3</w:t>
            </w:r>
          </w:p>
        </w:tc>
      </w:tr>
      <w:tr w:rsidR="005B1D9B" w:rsidRPr="008362A1" w14:paraId="4DD04DA8" w14:textId="77777777" w:rsidTr="005B1D9B">
        <w:trPr>
          <w:trHeight w:val="375"/>
          <w:jc w:val="center"/>
        </w:trPr>
        <w:tc>
          <w:tcPr>
            <w:tcW w:w="9330" w:type="dxa"/>
            <w:gridSpan w:val="3"/>
            <w:tcBorders>
              <w:top w:val="single" w:sz="4" w:space="0" w:color="BFBFBF"/>
              <w:left w:val="single" w:sz="12" w:space="0" w:color="BFBFBF"/>
              <w:bottom w:val="single" w:sz="4" w:space="0" w:color="BFBFBF"/>
              <w:right w:val="single" w:sz="12" w:space="0" w:color="BFBFBF"/>
            </w:tcBorders>
            <w:shd w:val="clear" w:color="000000" w:fill="D8D8D8"/>
            <w:noWrap/>
            <w:vAlign w:val="bottom"/>
            <w:hideMark/>
          </w:tcPr>
          <w:p w14:paraId="51128049" w14:textId="77777777" w:rsidR="005B1D9B" w:rsidRPr="008362A1" w:rsidRDefault="005B1D9B" w:rsidP="0031329F">
            <w:pPr>
              <w:rPr>
                <w:rFonts w:ascii="Arial" w:hAnsi="Arial" w:cs="Arial"/>
                <w:b/>
                <w:bCs/>
              </w:rPr>
            </w:pPr>
            <w:r w:rsidRPr="008362A1">
              <w:rPr>
                <w:rFonts w:ascii="Arial" w:hAnsi="Arial" w:cs="Arial"/>
                <w:b/>
                <w:bCs/>
              </w:rPr>
              <w:t>PROFESSIONAL ENGINEERING CERTIFICATION</w:t>
            </w:r>
          </w:p>
        </w:tc>
      </w:tr>
      <w:tr w:rsidR="005B1D9B" w:rsidRPr="008362A1" w14:paraId="32710C0B" w14:textId="77777777" w:rsidTr="00512503">
        <w:trPr>
          <w:trHeight w:val="375"/>
          <w:jc w:val="center"/>
        </w:trPr>
        <w:tc>
          <w:tcPr>
            <w:tcW w:w="3405" w:type="dxa"/>
            <w:tcBorders>
              <w:top w:val="nil"/>
              <w:left w:val="single" w:sz="12" w:space="0" w:color="BFBFBF"/>
              <w:bottom w:val="single" w:sz="4" w:space="0" w:color="BFBFBF"/>
              <w:right w:val="single" w:sz="4" w:space="0" w:color="BFBFBF"/>
            </w:tcBorders>
            <w:noWrap/>
            <w:vAlign w:val="bottom"/>
            <w:hideMark/>
          </w:tcPr>
          <w:p w14:paraId="4B3FF767" w14:textId="77777777" w:rsidR="005B1D9B" w:rsidRPr="008362A1" w:rsidRDefault="005B1D9B" w:rsidP="0031329F">
            <w:pPr>
              <w:rPr>
                <w:rFonts w:ascii="Arial" w:hAnsi="Arial" w:cs="Arial"/>
                <w:b/>
                <w:bCs/>
                <w:i/>
                <w:iCs/>
              </w:rPr>
            </w:pPr>
            <w:r w:rsidRPr="008362A1">
              <w:rPr>
                <w:rFonts w:ascii="Arial" w:hAnsi="Arial" w:cs="Arial"/>
                <w:b/>
                <w:bCs/>
                <w:i/>
                <w:iCs/>
              </w:rPr>
              <w:t>PE#</w:t>
            </w:r>
          </w:p>
        </w:tc>
        <w:tc>
          <w:tcPr>
            <w:tcW w:w="3049" w:type="dxa"/>
            <w:tcBorders>
              <w:top w:val="nil"/>
              <w:left w:val="nil"/>
              <w:bottom w:val="single" w:sz="4" w:space="0" w:color="BFBFBF"/>
              <w:right w:val="single" w:sz="4" w:space="0" w:color="BFBFBF"/>
            </w:tcBorders>
            <w:noWrap/>
            <w:vAlign w:val="bottom"/>
            <w:hideMark/>
          </w:tcPr>
          <w:p w14:paraId="70030E4B" w14:textId="77777777" w:rsidR="005B1D9B" w:rsidRPr="008362A1" w:rsidRDefault="005B1D9B" w:rsidP="0031329F">
            <w:pPr>
              <w:rPr>
                <w:rFonts w:ascii="Arial" w:hAnsi="Arial" w:cs="Arial"/>
                <w:b/>
                <w:bCs/>
                <w:i/>
                <w:iCs/>
              </w:rPr>
            </w:pPr>
            <w:r w:rsidRPr="008362A1">
              <w:rPr>
                <w:rFonts w:ascii="Arial" w:hAnsi="Arial" w:cs="Arial"/>
                <w:b/>
                <w:bCs/>
                <w:i/>
                <w:iCs/>
              </w:rPr>
              <w:t>NAME</w:t>
            </w:r>
          </w:p>
        </w:tc>
        <w:tc>
          <w:tcPr>
            <w:tcW w:w="2876" w:type="dxa"/>
            <w:tcBorders>
              <w:top w:val="nil"/>
              <w:left w:val="nil"/>
              <w:bottom w:val="single" w:sz="4" w:space="0" w:color="BFBFBF"/>
              <w:right w:val="single" w:sz="12" w:space="0" w:color="BFBFBF"/>
            </w:tcBorders>
            <w:noWrap/>
            <w:vAlign w:val="bottom"/>
            <w:hideMark/>
          </w:tcPr>
          <w:p w14:paraId="40485852" w14:textId="77777777" w:rsidR="005B1D9B" w:rsidRPr="008362A1" w:rsidRDefault="005B1D9B" w:rsidP="0031329F">
            <w:pPr>
              <w:rPr>
                <w:rFonts w:ascii="Arial" w:hAnsi="Arial" w:cs="Arial"/>
                <w:b/>
                <w:bCs/>
                <w:i/>
                <w:iCs/>
              </w:rPr>
            </w:pPr>
            <w:r w:rsidRPr="008362A1">
              <w:rPr>
                <w:rFonts w:ascii="Arial" w:hAnsi="Arial" w:cs="Arial"/>
                <w:b/>
                <w:bCs/>
                <w:i/>
                <w:iCs/>
              </w:rPr>
              <w:t>BRANCH</w:t>
            </w:r>
          </w:p>
        </w:tc>
      </w:tr>
      <w:tr w:rsidR="005B1D9B" w:rsidRPr="008362A1" w14:paraId="4ABAA763" w14:textId="77777777" w:rsidTr="00512503">
        <w:trPr>
          <w:trHeight w:val="375"/>
          <w:jc w:val="center"/>
        </w:trPr>
        <w:tc>
          <w:tcPr>
            <w:tcW w:w="3405" w:type="dxa"/>
            <w:tcBorders>
              <w:top w:val="nil"/>
              <w:left w:val="single" w:sz="12" w:space="0" w:color="BFBFBF"/>
              <w:bottom w:val="single" w:sz="4" w:space="0" w:color="BFBFBF"/>
              <w:right w:val="single" w:sz="4" w:space="0" w:color="BFBFBF"/>
            </w:tcBorders>
            <w:noWrap/>
            <w:vAlign w:val="center"/>
            <w:hideMark/>
          </w:tcPr>
          <w:p w14:paraId="35E7DC10" w14:textId="77777777" w:rsidR="005B1D9B" w:rsidRPr="008362A1" w:rsidRDefault="005B1D9B" w:rsidP="005B1D9B">
            <w:pPr>
              <w:rPr>
                <w:rFonts w:ascii="Arial" w:hAnsi="Arial" w:cs="Arial"/>
              </w:rPr>
            </w:pPr>
            <w:r w:rsidRPr="008362A1">
              <w:rPr>
                <w:rFonts w:ascii="Arial" w:hAnsi="Arial" w:cs="Arial"/>
              </w:rPr>
              <w:t>76914</w:t>
            </w:r>
          </w:p>
        </w:tc>
        <w:tc>
          <w:tcPr>
            <w:tcW w:w="3049" w:type="dxa"/>
            <w:tcBorders>
              <w:top w:val="nil"/>
              <w:left w:val="nil"/>
              <w:bottom w:val="single" w:sz="4" w:space="0" w:color="BFBFBF"/>
              <w:right w:val="single" w:sz="4" w:space="0" w:color="BFBFBF"/>
            </w:tcBorders>
            <w:noWrap/>
            <w:vAlign w:val="center"/>
            <w:hideMark/>
          </w:tcPr>
          <w:p w14:paraId="1AF21207" w14:textId="77777777" w:rsidR="005B1D9B" w:rsidRPr="008362A1" w:rsidRDefault="005B1D9B" w:rsidP="005B1D9B">
            <w:pPr>
              <w:rPr>
                <w:rFonts w:ascii="Arial" w:hAnsi="Arial" w:cs="Arial"/>
              </w:rPr>
            </w:pPr>
            <w:r w:rsidRPr="008362A1">
              <w:rPr>
                <w:rFonts w:ascii="Arial" w:hAnsi="Arial" w:cs="Arial"/>
              </w:rPr>
              <w:t>WARDLAW,</w:t>
            </w:r>
            <w:r>
              <w:rPr>
                <w:rFonts w:ascii="Arial" w:hAnsi="Arial" w:cs="Arial"/>
              </w:rPr>
              <w:t xml:space="preserve"> MARGARET </w:t>
            </w:r>
            <w:r w:rsidRPr="008362A1">
              <w:rPr>
                <w:rFonts w:ascii="Arial" w:hAnsi="Arial" w:cs="Arial"/>
              </w:rPr>
              <w:t>PEGGY ANNE</w:t>
            </w:r>
          </w:p>
        </w:tc>
        <w:tc>
          <w:tcPr>
            <w:tcW w:w="2876" w:type="dxa"/>
            <w:tcBorders>
              <w:top w:val="nil"/>
              <w:left w:val="nil"/>
              <w:bottom w:val="single" w:sz="4" w:space="0" w:color="BFBFBF"/>
              <w:right w:val="single" w:sz="12" w:space="0" w:color="BFBFBF"/>
            </w:tcBorders>
            <w:noWrap/>
            <w:vAlign w:val="center"/>
            <w:hideMark/>
          </w:tcPr>
          <w:p w14:paraId="53AA6392" w14:textId="77777777" w:rsidR="005B1D9B" w:rsidRPr="008362A1" w:rsidRDefault="005B1D9B" w:rsidP="005B1D9B">
            <w:pPr>
              <w:rPr>
                <w:rFonts w:ascii="Arial" w:hAnsi="Arial" w:cs="Arial"/>
              </w:rPr>
            </w:pPr>
            <w:r>
              <w:rPr>
                <w:rFonts w:ascii="Arial" w:hAnsi="Arial" w:cs="Arial"/>
              </w:rPr>
              <w:t>PETROLEUM</w:t>
            </w:r>
          </w:p>
        </w:tc>
      </w:tr>
      <w:tr w:rsidR="005B1D9B" w:rsidRPr="008362A1" w14:paraId="251A6AD8" w14:textId="77777777" w:rsidTr="005B1D9B">
        <w:trPr>
          <w:trHeight w:val="375"/>
          <w:jc w:val="center"/>
        </w:trPr>
        <w:tc>
          <w:tcPr>
            <w:tcW w:w="9330" w:type="dxa"/>
            <w:gridSpan w:val="3"/>
            <w:tcBorders>
              <w:top w:val="single" w:sz="4" w:space="0" w:color="BFBFBF"/>
              <w:left w:val="single" w:sz="12" w:space="0" w:color="BFBFBF"/>
              <w:bottom w:val="single" w:sz="4" w:space="0" w:color="BFBFBF"/>
              <w:right w:val="single" w:sz="12" w:space="0" w:color="BFBFBF"/>
            </w:tcBorders>
            <w:shd w:val="clear" w:color="000000" w:fill="D8D8D8"/>
            <w:noWrap/>
            <w:vAlign w:val="bottom"/>
            <w:hideMark/>
          </w:tcPr>
          <w:p w14:paraId="75B46883" w14:textId="77777777" w:rsidR="005B1D9B" w:rsidRPr="008362A1" w:rsidRDefault="005B1D9B" w:rsidP="0031329F">
            <w:pPr>
              <w:rPr>
                <w:rFonts w:ascii="Arial" w:hAnsi="Arial" w:cs="Arial"/>
                <w:b/>
                <w:bCs/>
              </w:rPr>
            </w:pPr>
            <w:r w:rsidRPr="008362A1">
              <w:rPr>
                <w:rFonts w:ascii="Arial" w:hAnsi="Arial" w:cs="Arial"/>
                <w:b/>
                <w:bCs/>
              </w:rPr>
              <w:t>PROFESSIONAL ENGINEERING FIRM CERTIFICATION</w:t>
            </w:r>
          </w:p>
        </w:tc>
      </w:tr>
      <w:tr w:rsidR="005B1D9B" w:rsidRPr="008362A1" w14:paraId="051BB14D" w14:textId="77777777" w:rsidTr="00512503">
        <w:trPr>
          <w:trHeight w:val="375"/>
          <w:jc w:val="center"/>
        </w:trPr>
        <w:tc>
          <w:tcPr>
            <w:tcW w:w="3405" w:type="dxa"/>
            <w:tcBorders>
              <w:top w:val="nil"/>
              <w:left w:val="single" w:sz="12" w:space="0" w:color="BFBFBF"/>
              <w:bottom w:val="single" w:sz="4" w:space="0" w:color="BFBFBF"/>
              <w:right w:val="single" w:sz="4" w:space="0" w:color="BFBFBF"/>
            </w:tcBorders>
            <w:noWrap/>
            <w:vAlign w:val="bottom"/>
            <w:hideMark/>
          </w:tcPr>
          <w:p w14:paraId="0181A0B0" w14:textId="77777777" w:rsidR="005B1D9B" w:rsidRPr="008362A1" w:rsidRDefault="005B1D9B" w:rsidP="0031329F">
            <w:pPr>
              <w:rPr>
                <w:rFonts w:ascii="Arial" w:hAnsi="Arial" w:cs="Arial"/>
                <w:b/>
                <w:bCs/>
                <w:i/>
                <w:iCs/>
              </w:rPr>
            </w:pPr>
            <w:r w:rsidRPr="008362A1">
              <w:rPr>
                <w:rFonts w:ascii="Arial" w:hAnsi="Arial" w:cs="Arial"/>
                <w:b/>
                <w:bCs/>
                <w:i/>
                <w:iCs/>
              </w:rPr>
              <w:t>FIRM #</w:t>
            </w:r>
          </w:p>
        </w:tc>
        <w:tc>
          <w:tcPr>
            <w:tcW w:w="5925" w:type="dxa"/>
            <w:gridSpan w:val="2"/>
            <w:tcBorders>
              <w:top w:val="single" w:sz="4" w:space="0" w:color="BFBFBF"/>
              <w:left w:val="nil"/>
              <w:bottom w:val="single" w:sz="4" w:space="0" w:color="BFBFBF"/>
              <w:right w:val="single" w:sz="12" w:space="0" w:color="BFBFBF"/>
            </w:tcBorders>
            <w:noWrap/>
            <w:vAlign w:val="bottom"/>
            <w:hideMark/>
          </w:tcPr>
          <w:p w14:paraId="64FE2699" w14:textId="77777777" w:rsidR="005B1D9B" w:rsidRPr="008362A1" w:rsidRDefault="005B1D9B" w:rsidP="0031329F">
            <w:pPr>
              <w:rPr>
                <w:rFonts w:ascii="Arial" w:hAnsi="Arial" w:cs="Arial"/>
                <w:b/>
                <w:bCs/>
                <w:i/>
                <w:iCs/>
              </w:rPr>
            </w:pPr>
            <w:r w:rsidRPr="008362A1">
              <w:rPr>
                <w:rFonts w:ascii="Arial" w:hAnsi="Arial" w:cs="Arial"/>
                <w:b/>
                <w:bCs/>
                <w:i/>
                <w:iCs/>
              </w:rPr>
              <w:t>FIRM NAME</w:t>
            </w:r>
          </w:p>
        </w:tc>
      </w:tr>
      <w:tr w:rsidR="005B1D9B" w:rsidRPr="008362A1" w14:paraId="67715B68" w14:textId="77777777" w:rsidTr="00512503">
        <w:trPr>
          <w:trHeight w:val="390"/>
          <w:jc w:val="center"/>
        </w:trPr>
        <w:tc>
          <w:tcPr>
            <w:tcW w:w="3405" w:type="dxa"/>
            <w:tcBorders>
              <w:top w:val="nil"/>
              <w:left w:val="single" w:sz="12" w:space="0" w:color="BFBFBF"/>
              <w:bottom w:val="single" w:sz="12" w:space="0" w:color="BFBFBF"/>
              <w:right w:val="single" w:sz="4" w:space="0" w:color="BFBFBF"/>
            </w:tcBorders>
            <w:noWrap/>
            <w:vAlign w:val="center"/>
            <w:hideMark/>
          </w:tcPr>
          <w:p w14:paraId="126D7D44" w14:textId="77777777" w:rsidR="005B1D9B" w:rsidRPr="008362A1" w:rsidRDefault="005B1D9B" w:rsidP="005B1D9B">
            <w:pPr>
              <w:rPr>
                <w:rFonts w:ascii="Arial" w:hAnsi="Arial" w:cs="Arial"/>
              </w:rPr>
            </w:pPr>
            <w:r w:rsidRPr="008362A1">
              <w:rPr>
                <w:rFonts w:ascii="Arial" w:hAnsi="Arial" w:cs="Arial"/>
              </w:rPr>
              <w:t>5194</w:t>
            </w:r>
          </w:p>
        </w:tc>
        <w:tc>
          <w:tcPr>
            <w:tcW w:w="5925" w:type="dxa"/>
            <w:gridSpan w:val="2"/>
            <w:tcBorders>
              <w:top w:val="single" w:sz="4" w:space="0" w:color="BFBFBF"/>
              <w:left w:val="nil"/>
              <w:bottom w:val="single" w:sz="12" w:space="0" w:color="BFBFBF"/>
              <w:right w:val="single" w:sz="12" w:space="0" w:color="BFBFBF"/>
            </w:tcBorders>
            <w:noWrap/>
            <w:vAlign w:val="center"/>
            <w:hideMark/>
          </w:tcPr>
          <w:p w14:paraId="0D6B4637" w14:textId="77777777" w:rsidR="005B1D9B" w:rsidRPr="008362A1" w:rsidRDefault="005B1D9B" w:rsidP="005B1D9B">
            <w:pPr>
              <w:rPr>
                <w:rFonts w:ascii="Arial" w:hAnsi="Arial" w:cs="Arial"/>
              </w:rPr>
            </w:pPr>
            <w:r w:rsidRPr="008362A1">
              <w:rPr>
                <w:rFonts w:ascii="Arial" w:hAnsi="Arial" w:cs="Arial"/>
              </w:rPr>
              <w:t>WARDLAW APPRAISAL GROUP LC</w:t>
            </w:r>
          </w:p>
        </w:tc>
      </w:tr>
    </w:tbl>
    <w:p w14:paraId="5F6C154B" w14:textId="2EAD30AE" w:rsidR="00380E43" w:rsidRDefault="00380E43" w:rsidP="005B1D9B">
      <w:pPr>
        <w:pStyle w:val="Footer"/>
        <w:tabs>
          <w:tab w:val="clear" w:pos="4320"/>
          <w:tab w:val="clear" w:pos="8640"/>
        </w:tabs>
        <w:spacing w:before="120" w:after="120" w:line="320" w:lineRule="atLeast"/>
      </w:pPr>
    </w:p>
    <w:sectPr w:rsidR="00380E43" w:rsidSect="00C34B47">
      <w:headerReference w:type="default" r:id="rId8"/>
      <w:footerReference w:type="even" r:id="rId9"/>
      <w:type w:val="continuous"/>
      <w:pgSz w:w="12240" w:h="15840" w:code="1"/>
      <w:pgMar w:top="720" w:right="1440" w:bottom="720" w:left="1440" w:header="360" w:footer="36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455A8" w14:textId="77777777" w:rsidR="006A4EEF" w:rsidRDefault="006A4EEF">
      <w:r>
        <w:separator/>
      </w:r>
    </w:p>
  </w:endnote>
  <w:endnote w:type="continuationSeparator" w:id="0">
    <w:p w14:paraId="78CA0693" w14:textId="77777777" w:rsidR="006A4EEF" w:rsidRDefault="006A4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NewRomanPS">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11BB0" w14:textId="77777777" w:rsidR="007B37BB" w:rsidRDefault="00D475A5">
    <w:pPr>
      <w:pStyle w:val="Footer"/>
      <w:framePr w:wrap="around" w:vAnchor="text" w:hAnchor="margin" w:xAlign="center" w:y="1"/>
      <w:rPr>
        <w:rStyle w:val="PageNumber"/>
      </w:rPr>
    </w:pPr>
    <w:r>
      <w:rPr>
        <w:rStyle w:val="PageNumber"/>
      </w:rPr>
      <w:fldChar w:fldCharType="begin"/>
    </w:r>
    <w:r w:rsidR="007B37BB">
      <w:rPr>
        <w:rStyle w:val="PageNumber"/>
      </w:rPr>
      <w:instrText xml:space="preserve">PAGE  </w:instrText>
    </w:r>
    <w:r>
      <w:rPr>
        <w:rStyle w:val="PageNumber"/>
      </w:rPr>
      <w:fldChar w:fldCharType="end"/>
    </w:r>
  </w:p>
  <w:p w14:paraId="0C10367C" w14:textId="77777777" w:rsidR="007B37BB" w:rsidRDefault="007B37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B1715" w14:textId="77777777" w:rsidR="006A4EEF" w:rsidRDefault="006A4EEF">
      <w:r>
        <w:separator/>
      </w:r>
    </w:p>
  </w:footnote>
  <w:footnote w:type="continuationSeparator" w:id="0">
    <w:p w14:paraId="62EB486E" w14:textId="77777777" w:rsidR="006A4EEF" w:rsidRDefault="006A4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8EFFE" w14:textId="40D5B8C0" w:rsidR="007B37BB" w:rsidRPr="007B37BB" w:rsidRDefault="007B37BB">
    <w:pPr>
      <w:pStyle w:val="Header"/>
      <w:rPr>
        <w:rFonts w:ascii="Arial" w:hAnsi="Arial" w:cs="Arial"/>
        <w:sz w:val="20"/>
      </w:rPr>
    </w:pPr>
    <w:r w:rsidRPr="007B37BB">
      <w:rPr>
        <w:rFonts w:ascii="Arial" w:hAnsi="Arial" w:cs="Arial"/>
        <w:sz w:val="20"/>
      </w:rPr>
      <w:t xml:space="preserve">Reappraisal Plan </w:t>
    </w:r>
    <w:r w:rsidR="00BB48D0">
      <w:rPr>
        <w:rFonts w:ascii="Arial" w:hAnsi="Arial" w:cs="Arial"/>
        <w:sz w:val="20"/>
      </w:rPr>
      <w:t>202</w:t>
    </w:r>
    <w:r w:rsidR="000F4EB3">
      <w:rPr>
        <w:rFonts w:ascii="Arial" w:hAnsi="Arial" w:cs="Arial"/>
        <w:sz w:val="20"/>
      </w:rPr>
      <w:t>7-2028</w:t>
    </w:r>
  </w:p>
  <w:p w14:paraId="0E9BCB5A" w14:textId="77777777" w:rsidR="007B37BB" w:rsidRPr="007B37BB" w:rsidRDefault="007B37BB">
    <w:pPr>
      <w:pStyle w:val="Header"/>
      <w:rPr>
        <w:rFonts w:ascii="Arial" w:hAnsi="Arial" w:cs="Arial"/>
        <w:sz w:val="20"/>
      </w:rPr>
    </w:pPr>
    <w:r w:rsidRPr="007B37BB">
      <w:rPr>
        <w:rFonts w:ascii="Arial" w:hAnsi="Arial" w:cs="Arial"/>
        <w:sz w:val="20"/>
      </w:rPr>
      <w:t>Wardlaw Client Appraisal Districts</w:t>
    </w:r>
  </w:p>
  <w:p w14:paraId="09D4FAA4" w14:textId="77777777" w:rsidR="007B37BB" w:rsidRPr="007B37BB" w:rsidRDefault="007B37BB">
    <w:pPr>
      <w:pStyle w:val="Header"/>
      <w:spacing w:after="480"/>
      <w:rPr>
        <w:rFonts w:ascii="Arial" w:hAnsi="Arial" w:cs="Arial"/>
        <w:sz w:val="20"/>
      </w:rPr>
    </w:pPr>
    <w:r w:rsidRPr="007B37BB">
      <w:rPr>
        <w:rFonts w:ascii="Arial" w:hAnsi="Arial" w:cs="Arial"/>
        <w:sz w:val="20"/>
      </w:rPr>
      <w:t xml:space="preserve">Page </w:t>
    </w:r>
    <w:r w:rsidR="00D475A5" w:rsidRPr="007B37BB">
      <w:rPr>
        <w:rStyle w:val="PageNumber"/>
        <w:rFonts w:ascii="Arial" w:hAnsi="Arial" w:cs="Arial"/>
        <w:sz w:val="20"/>
      </w:rPr>
      <w:fldChar w:fldCharType="begin"/>
    </w:r>
    <w:r w:rsidRPr="007B37BB">
      <w:rPr>
        <w:rStyle w:val="PageNumber"/>
        <w:rFonts w:ascii="Arial" w:hAnsi="Arial" w:cs="Arial"/>
        <w:sz w:val="20"/>
      </w:rPr>
      <w:instrText xml:space="preserve"> PAGE </w:instrText>
    </w:r>
    <w:r w:rsidR="00D475A5" w:rsidRPr="007B37BB">
      <w:rPr>
        <w:rStyle w:val="PageNumber"/>
        <w:rFonts w:ascii="Arial" w:hAnsi="Arial" w:cs="Arial"/>
        <w:sz w:val="20"/>
      </w:rPr>
      <w:fldChar w:fldCharType="separate"/>
    </w:r>
    <w:r w:rsidR="00332E45">
      <w:rPr>
        <w:rStyle w:val="PageNumber"/>
        <w:rFonts w:ascii="Arial" w:hAnsi="Arial" w:cs="Arial"/>
        <w:noProof/>
        <w:sz w:val="20"/>
      </w:rPr>
      <w:t>8</w:t>
    </w:r>
    <w:r w:rsidR="00D475A5" w:rsidRPr="007B37BB">
      <w:rPr>
        <w:rStyle w:val="PageNumber"/>
        <w:rFonts w:ascii="Arial" w:hAnsi="Arial" w:cs="Arial"/>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224D1"/>
    <w:multiLevelType w:val="hybridMultilevel"/>
    <w:tmpl w:val="5A9EF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D27F21"/>
    <w:multiLevelType w:val="hybridMultilevel"/>
    <w:tmpl w:val="CDC809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147858"/>
    <w:multiLevelType w:val="hybridMultilevel"/>
    <w:tmpl w:val="4EF4525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EF4A49"/>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19482140"/>
    <w:multiLevelType w:val="hybridMultilevel"/>
    <w:tmpl w:val="B39877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B3B6F6D"/>
    <w:multiLevelType w:val="singleLevel"/>
    <w:tmpl w:val="D69A7A48"/>
    <w:lvl w:ilvl="0">
      <w:start w:val="1"/>
      <w:numFmt w:val="bullet"/>
      <w:lvlText w:val=""/>
      <w:lvlJc w:val="left"/>
      <w:pPr>
        <w:tabs>
          <w:tab w:val="num" w:pos="360"/>
        </w:tabs>
        <w:ind w:left="360" w:hanging="360"/>
      </w:pPr>
      <w:rPr>
        <w:rFonts w:ascii="Symbol" w:hAnsi="Symbol" w:hint="default"/>
        <w:sz w:val="20"/>
      </w:rPr>
    </w:lvl>
  </w:abstractNum>
  <w:abstractNum w:abstractNumId="7" w15:restartNumberingAfterBreak="0">
    <w:nsid w:val="1E142AE9"/>
    <w:multiLevelType w:val="hybridMultilevel"/>
    <w:tmpl w:val="F2789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C31603"/>
    <w:multiLevelType w:val="hybridMultilevel"/>
    <w:tmpl w:val="519E96A4"/>
    <w:lvl w:ilvl="0" w:tplc="5B288D6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289A46A3"/>
    <w:multiLevelType w:val="hybridMultilevel"/>
    <w:tmpl w:val="35544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87528B"/>
    <w:multiLevelType w:val="hybridMultilevel"/>
    <w:tmpl w:val="C2140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7E7169"/>
    <w:multiLevelType w:val="hybridMultilevel"/>
    <w:tmpl w:val="372E6338"/>
    <w:lvl w:ilvl="0" w:tplc="55809218">
      <w:start w:val="1"/>
      <w:numFmt w:val="bullet"/>
      <w:lvlText w:val=""/>
      <w:lvlJc w:val="left"/>
      <w:pPr>
        <w:tabs>
          <w:tab w:val="num" w:pos="864"/>
        </w:tabs>
        <w:ind w:left="864"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DF676D"/>
    <w:multiLevelType w:val="hybridMultilevel"/>
    <w:tmpl w:val="E6C6E2F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433E61"/>
    <w:multiLevelType w:val="singleLevel"/>
    <w:tmpl w:val="83780AC6"/>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7EB5640"/>
    <w:multiLevelType w:val="hybridMultilevel"/>
    <w:tmpl w:val="069E5FB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B87400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4D475EAE"/>
    <w:multiLevelType w:val="hybridMultilevel"/>
    <w:tmpl w:val="129071B8"/>
    <w:lvl w:ilvl="0" w:tplc="5B288D6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505929A8"/>
    <w:multiLevelType w:val="hybridMultilevel"/>
    <w:tmpl w:val="A65A6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F25D89"/>
    <w:multiLevelType w:val="hybridMultilevel"/>
    <w:tmpl w:val="2E70D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C52593"/>
    <w:multiLevelType w:val="hybridMultilevel"/>
    <w:tmpl w:val="5B5E7908"/>
    <w:lvl w:ilvl="0" w:tplc="75E2F10A">
      <w:start w:val="1"/>
      <w:numFmt w:val="lowerLetter"/>
      <w:pStyle w:val="LetteredChoices"/>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A4D7A33"/>
    <w:multiLevelType w:val="singleLevel"/>
    <w:tmpl w:val="83780AC6"/>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C33802"/>
    <w:multiLevelType w:val="hybridMultilevel"/>
    <w:tmpl w:val="D354E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B53A3E"/>
    <w:multiLevelType w:val="singleLevel"/>
    <w:tmpl w:val="D69A7A48"/>
    <w:lvl w:ilvl="0">
      <w:start w:val="1"/>
      <w:numFmt w:val="bullet"/>
      <w:lvlText w:val=""/>
      <w:lvlJc w:val="left"/>
      <w:pPr>
        <w:tabs>
          <w:tab w:val="num" w:pos="360"/>
        </w:tabs>
        <w:ind w:left="360" w:hanging="360"/>
      </w:pPr>
      <w:rPr>
        <w:rFonts w:ascii="Symbol" w:hAnsi="Symbol" w:hint="default"/>
        <w:sz w:val="20"/>
      </w:rPr>
    </w:lvl>
  </w:abstractNum>
  <w:abstractNum w:abstractNumId="23" w15:restartNumberingAfterBreak="0">
    <w:nsid w:val="63404CBD"/>
    <w:multiLevelType w:val="singleLevel"/>
    <w:tmpl w:val="83780AC6"/>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9D67C2B"/>
    <w:multiLevelType w:val="hybridMultilevel"/>
    <w:tmpl w:val="A56A63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CC34A0A"/>
    <w:multiLevelType w:val="singleLevel"/>
    <w:tmpl w:val="D69A7A48"/>
    <w:lvl w:ilvl="0">
      <w:start w:val="1"/>
      <w:numFmt w:val="bullet"/>
      <w:lvlText w:val=""/>
      <w:lvlJc w:val="left"/>
      <w:pPr>
        <w:tabs>
          <w:tab w:val="num" w:pos="360"/>
        </w:tabs>
        <w:ind w:left="360" w:hanging="360"/>
      </w:pPr>
      <w:rPr>
        <w:rFonts w:ascii="Symbol" w:hAnsi="Symbol" w:hint="default"/>
        <w:sz w:val="20"/>
      </w:rPr>
    </w:lvl>
  </w:abstractNum>
  <w:abstractNum w:abstractNumId="26" w15:restartNumberingAfterBreak="0">
    <w:nsid w:val="7389197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742624F7"/>
    <w:multiLevelType w:val="hybridMultilevel"/>
    <w:tmpl w:val="9DC4E6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D68421B"/>
    <w:multiLevelType w:val="hybridMultilevel"/>
    <w:tmpl w:val="99CA5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95509C"/>
    <w:multiLevelType w:val="singleLevel"/>
    <w:tmpl w:val="83780AC6"/>
    <w:lvl w:ilvl="0">
      <w:start w:val="1"/>
      <w:numFmt w:val="bullet"/>
      <w:lvlText w:val=""/>
      <w:lvlJc w:val="left"/>
      <w:pPr>
        <w:tabs>
          <w:tab w:val="num" w:pos="360"/>
        </w:tabs>
        <w:ind w:left="360" w:hanging="360"/>
      </w:pPr>
      <w:rPr>
        <w:rFonts w:ascii="Symbol" w:hAnsi="Symbol" w:hint="default"/>
      </w:rPr>
    </w:lvl>
  </w:abstractNum>
  <w:num w:numId="1" w16cid:durableId="1026366019">
    <w:abstractNumId w:val="22"/>
  </w:num>
  <w:num w:numId="2" w16cid:durableId="831918824">
    <w:abstractNumId w:val="4"/>
  </w:num>
  <w:num w:numId="3" w16cid:durableId="817768481">
    <w:abstractNumId w:val="13"/>
  </w:num>
  <w:num w:numId="4" w16cid:durableId="1059785716">
    <w:abstractNumId w:val="29"/>
  </w:num>
  <w:num w:numId="5" w16cid:durableId="1248269595">
    <w:abstractNumId w:val="23"/>
  </w:num>
  <w:num w:numId="6" w16cid:durableId="1720586731">
    <w:abstractNumId w:val="20"/>
  </w:num>
  <w:num w:numId="7" w16cid:durableId="552429228">
    <w:abstractNumId w:val="25"/>
  </w:num>
  <w:num w:numId="8" w16cid:durableId="147289089">
    <w:abstractNumId w:val="6"/>
  </w:num>
  <w:num w:numId="9" w16cid:durableId="1834951135">
    <w:abstractNumId w:val="26"/>
  </w:num>
  <w:num w:numId="10" w16cid:durableId="1060641658">
    <w:abstractNumId w:val="15"/>
  </w:num>
  <w:num w:numId="11" w16cid:durableId="564679584">
    <w:abstractNumId w:val="0"/>
    <w:lvlOverride w:ilvl="0">
      <w:lvl w:ilvl="0">
        <w:numFmt w:val="bullet"/>
        <w:lvlText w:val=""/>
        <w:legacy w:legacy="1" w:legacySpace="0" w:legacyIndent="360"/>
        <w:lvlJc w:val="left"/>
        <w:pPr>
          <w:ind w:left="720" w:hanging="360"/>
        </w:pPr>
        <w:rPr>
          <w:rFonts w:ascii="Symbol" w:hAnsi="Symbol" w:hint="default"/>
        </w:rPr>
      </w:lvl>
    </w:lvlOverride>
  </w:num>
  <w:num w:numId="12" w16cid:durableId="1620990646">
    <w:abstractNumId w:val="8"/>
  </w:num>
  <w:num w:numId="13" w16cid:durableId="1678380284">
    <w:abstractNumId w:val="16"/>
  </w:num>
  <w:num w:numId="14" w16cid:durableId="1775856989">
    <w:abstractNumId w:val="11"/>
  </w:num>
  <w:num w:numId="15" w16cid:durableId="1801066417">
    <w:abstractNumId w:val="19"/>
  </w:num>
  <w:num w:numId="16" w16cid:durableId="384530626">
    <w:abstractNumId w:val="2"/>
  </w:num>
  <w:num w:numId="17" w16cid:durableId="1129974224">
    <w:abstractNumId w:val="7"/>
  </w:num>
  <w:num w:numId="18" w16cid:durableId="558251142">
    <w:abstractNumId w:val="10"/>
  </w:num>
  <w:num w:numId="19" w16cid:durableId="2079593161">
    <w:abstractNumId w:val="21"/>
  </w:num>
  <w:num w:numId="20" w16cid:durableId="1077366795">
    <w:abstractNumId w:val="28"/>
  </w:num>
  <w:num w:numId="21" w16cid:durableId="979964934">
    <w:abstractNumId w:val="17"/>
  </w:num>
  <w:num w:numId="22" w16cid:durableId="655955154">
    <w:abstractNumId w:val="1"/>
  </w:num>
  <w:num w:numId="23" w16cid:durableId="37241898">
    <w:abstractNumId w:val="18"/>
  </w:num>
  <w:num w:numId="24" w16cid:durableId="248388499">
    <w:abstractNumId w:val="5"/>
  </w:num>
  <w:num w:numId="25" w16cid:durableId="1794907520">
    <w:abstractNumId w:val="27"/>
  </w:num>
  <w:num w:numId="26" w16cid:durableId="1282807051">
    <w:abstractNumId w:val="24"/>
  </w:num>
  <w:num w:numId="27" w16cid:durableId="980186097">
    <w:abstractNumId w:val="14"/>
  </w:num>
  <w:num w:numId="28" w16cid:durableId="801390507">
    <w:abstractNumId w:val="12"/>
  </w:num>
  <w:num w:numId="29" w16cid:durableId="1902248093">
    <w:abstractNumId w:val="9"/>
  </w:num>
  <w:num w:numId="30" w16cid:durableId="5709684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B51"/>
    <w:rsid w:val="00000539"/>
    <w:rsid w:val="00067F4D"/>
    <w:rsid w:val="0008223F"/>
    <w:rsid w:val="0008603B"/>
    <w:rsid w:val="000A5CD3"/>
    <w:rsid w:val="000B5FB6"/>
    <w:rsid w:val="000C6322"/>
    <w:rsid w:val="000E1DAC"/>
    <w:rsid w:val="000E5C63"/>
    <w:rsid w:val="000F4EB3"/>
    <w:rsid w:val="00105137"/>
    <w:rsid w:val="00107ED9"/>
    <w:rsid w:val="001202BB"/>
    <w:rsid w:val="001229D1"/>
    <w:rsid w:val="00141A92"/>
    <w:rsid w:val="00141CC8"/>
    <w:rsid w:val="001513B6"/>
    <w:rsid w:val="001559C2"/>
    <w:rsid w:val="001570B3"/>
    <w:rsid w:val="00171B99"/>
    <w:rsid w:val="0017663B"/>
    <w:rsid w:val="00185BDF"/>
    <w:rsid w:val="001922BF"/>
    <w:rsid w:val="0019508A"/>
    <w:rsid w:val="001B7350"/>
    <w:rsid w:val="001D5BBB"/>
    <w:rsid w:val="001E2643"/>
    <w:rsid w:val="00212775"/>
    <w:rsid w:val="00243522"/>
    <w:rsid w:val="00246C33"/>
    <w:rsid w:val="00256B40"/>
    <w:rsid w:val="00264105"/>
    <w:rsid w:val="0026431E"/>
    <w:rsid w:val="00271F34"/>
    <w:rsid w:val="00297D33"/>
    <w:rsid w:val="002A61CA"/>
    <w:rsid w:val="002D04BE"/>
    <w:rsid w:val="002E4692"/>
    <w:rsid w:val="002E55CC"/>
    <w:rsid w:val="002F0FD6"/>
    <w:rsid w:val="003317FD"/>
    <w:rsid w:val="00332E45"/>
    <w:rsid w:val="00342AF6"/>
    <w:rsid w:val="00345435"/>
    <w:rsid w:val="00376AC7"/>
    <w:rsid w:val="00380E43"/>
    <w:rsid w:val="003842A2"/>
    <w:rsid w:val="00396469"/>
    <w:rsid w:val="003978C2"/>
    <w:rsid w:val="003C2EDF"/>
    <w:rsid w:val="003D3DD6"/>
    <w:rsid w:val="003E0FFC"/>
    <w:rsid w:val="003F1147"/>
    <w:rsid w:val="00400BB1"/>
    <w:rsid w:val="0040280E"/>
    <w:rsid w:val="00403EE9"/>
    <w:rsid w:val="004049D0"/>
    <w:rsid w:val="00417518"/>
    <w:rsid w:val="0044637A"/>
    <w:rsid w:val="00464123"/>
    <w:rsid w:val="0047722F"/>
    <w:rsid w:val="00490168"/>
    <w:rsid w:val="004901E5"/>
    <w:rsid w:val="004D783D"/>
    <w:rsid w:val="00511BFB"/>
    <w:rsid w:val="00512503"/>
    <w:rsid w:val="00515AE1"/>
    <w:rsid w:val="005434CE"/>
    <w:rsid w:val="005544B9"/>
    <w:rsid w:val="005567B1"/>
    <w:rsid w:val="00556B51"/>
    <w:rsid w:val="0056310A"/>
    <w:rsid w:val="00576BB7"/>
    <w:rsid w:val="005B1D9B"/>
    <w:rsid w:val="005F2139"/>
    <w:rsid w:val="005F7770"/>
    <w:rsid w:val="00617939"/>
    <w:rsid w:val="00653773"/>
    <w:rsid w:val="00680D33"/>
    <w:rsid w:val="00685427"/>
    <w:rsid w:val="006A4EEF"/>
    <w:rsid w:val="006C19DF"/>
    <w:rsid w:val="006C79C6"/>
    <w:rsid w:val="006D4615"/>
    <w:rsid w:val="006D7316"/>
    <w:rsid w:val="0070374B"/>
    <w:rsid w:val="00721C91"/>
    <w:rsid w:val="00742653"/>
    <w:rsid w:val="007541CA"/>
    <w:rsid w:val="00790D71"/>
    <w:rsid w:val="007A05EA"/>
    <w:rsid w:val="007A0C84"/>
    <w:rsid w:val="007B37BB"/>
    <w:rsid w:val="007C444A"/>
    <w:rsid w:val="007C73AA"/>
    <w:rsid w:val="007D0525"/>
    <w:rsid w:val="00840B33"/>
    <w:rsid w:val="00855D6D"/>
    <w:rsid w:val="00865CB3"/>
    <w:rsid w:val="008721F4"/>
    <w:rsid w:val="008828FF"/>
    <w:rsid w:val="008837F2"/>
    <w:rsid w:val="00895166"/>
    <w:rsid w:val="008B0A21"/>
    <w:rsid w:val="008C3E94"/>
    <w:rsid w:val="008D7AFB"/>
    <w:rsid w:val="008E132D"/>
    <w:rsid w:val="00933C3B"/>
    <w:rsid w:val="0094353C"/>
    <w:rsid w:val="00964924"/>
    <w:rsid w:val="00970FBE"/>
    <w:rsid w:val="00A3349C"/>
    <w:rsid w:val="00A446DC"/>
    <w:rsid w:val="00A458CD"/>
    <w:rsid w:val="00A9774B"/>
    <w:rsid w:val="00AA1611"/>
    <w:rsid w:val="00AB3CC8"/>
    <w:rsid w:val="00AB4ECD"/>
    <w:rsid w:val="00AB7241"/>
    <w:rsid w:val="00AD4623"/>
    <w:rsid w:val="00B335F6"/>
    <w:rsid w:val="00B62CF2"/>
    <w:rsid w:val="00B6371C"/>
    <w:rsid w:val="00B719BF"/>
    <w:rsid w:val="00BA1DB5"/>
    <w:rsid w:val="00BB48D0"/>
    <w:rsid w:val="00BF1068"/>
    <w:rsid w:val="00BF619A"/>
    <w:rsid w:val="00C011AE"/>
    <w:rsid w:val="00C2279E"/>
    <w:rsid w:val="00C30B82"/>
    <w:rsid w:val="00C34B47"/>
    <w:rsid w:val="00C43D13"/>
    <w:rsid w:val="00C502FB"/>
    <w:rsid w:val="00C50AF9"/>
    <w:rsid w:val="00C576D4"/>
    <w:rsid w:val="00C65310"/>
    <w:rsid w:val="00CA19FF"/>
    <w:rsid w:val="00CA2391"/>
    <w:rsid w:val="00CA6D00"/>
    <w:rsid w:val="00CB6DDE"/>
    <w:rsid w:val="00CC18FB"/>
    <w:rsid w:val="00CD0445"/>
    <w:rsid w:val="00D10FE3"/>
    <w:rsid w:val="00D475A5"/>
    <w:rsid w:val="00D52DF7"/>
    <w:rsid w:val="00D53FB4"/>
    <w:rsid w:val="00D94AFA"/>
    <w:rsid w:val="00D94FFF"/>
    <w:rsid w:val="00DD54BC"/>
    <w:rsid w:val="00E11F3E"/>
    <w:rsid w:val="00E23F4F"/>
    <w:rsid w:val="00E34E02"/>
    <w:rsid w:val="00E43428"/>
    <w:rsid w:val="00E571A3"/>
    <w:rsid w:val="00EA5AC5"/>
    <w:rsid w:val="00EB618E"/>
    <w:rsid w:val="00EC7F5F"/>
    <w:rsid w:val="00F0697F"/>
    <w:rsid w:val="00F144CA"/>
    <w:rsid w:val="00F165B4"/>
    <w:rsid w:val="00F232AF"/>
    <w:rsid w:val="00F73305"/>
    <w:rsid w:val="00F92AA3"/>
    <w:rsid w:val="00FA762A"/>
    <w:rsid w:val="00FD1EB5"/>
    <w:rsid w:val="00FD71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E10974"/>
  <w15:docId w15:val="{78318FC8-6583-44FE-ACD1-DCB4249F1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34B47"/>
    <w:rPr>
      <w:sz w:val="22"/>
    </w:rPr>
  </w:style>
  <w:style w:type="paragraph" w:styleId="Heading1">
    <w:name w:val="heading 1"/>
    <w:basedOn w:val="Normal"/>
    <w:next w:val="Normal"/>
    <w:qFormat/>
    <w:rsid w:val="00C34B47"/>
    <w:pPr>
      <w:keepNext/>
      <w:outlineLvl w:val="0"/>
    </w:pPr>
    <w:rPr>
      <w:rFonts w:ascii="Century Schoolbook" w:hAnsi="Century Schoolbook"/>
      <w:b/>
      <w:sz w:val="32"/>
    </w:rPr>
  </w:style>
  <w:style w:type="paragraph" w:styleId="Heading2">
    <w:name w:val="heading 2"/>
    <w:basedOn w:val="Normal"/>
    <w:next w:val="Normal"/>
    <w:qFormat/>
    <w:rsid w:val="00C34B47"/>
    <w:pPr>
      <w:keepNext/>
      <w:outlineLvl w:val="1"/>
    </w:pPr>
    <w:rPr>
      <w:rFonts w:ascii="Century Schoolbook" w:hAnsi="Century Schoolbook"/>
      <w:b/>
    </w:rPr>
  </w:style>
  <w:style w:type="paragraph" w:styleId="Heading3">
    <w:name w:val="heading 3"/>
    <w:basedOn w:val="Normal"/>
    <w:next w:val="Normal"/>
    <w:qFormat/>
    <w:rsid w:val="00C34B47"/>
    <w:pPr>
      <w:keepNext/>
      <w:jc w:val="both"/>
      <w:outlineLvl w:val="2"/>
    </w:pPr>
    <w:rPr>
      <w:rFonts w:ascii="Century Schoolbook" w:hAnsi="Century Schoolbook"/>
      <w:b/>
      <w:i/>
    </w:rPr>
  </w:style>
  <w:style w:type="paragraph" w:styleId="Heading4">
    <w:name w:val="heading 4"/>
    <w:basedOn w:val="Normal"/>
    <w:next w:val="Normal"/>
    <w:qFormat/>
    <w:rsid w:val="00C34B47"/>
    <w:pPr>
      <w:keepNext/>
      <w:outlineLvl w:val="3"/>
    </w:pPr>
    <w:rPr>
      <w:rFonts w:ascii="Century Schoolbook" w:hAnsi="Century Schoolbook"/>
      <w:b/>
      <w:i/>
    </w:rPr>
  </w:style>
  <w:style w:type="paragraph" w:styleId="Heading5">
    <w:name w:val="heading 5"/>
    <w:basedOn w:val="Normal"/>
    <w:next w:val="Normal"/>
    <w:qFormat/>
    <w:rsid w:val="00C34B47"/>
    <w:pPr>
      <w:keepNext/>
      <w:jc w:val="both"/>
      <w:outlineLvl w:val="4"/>
    </w:pPr>
    <w:rPr>
      <w:rFonts w:ascii="Century Schoolbook" w:hAnsi="Century Schoolbook"/>
      <w:b/>
    </w:rPr>
  </w:style>
  <w:style w:type="paragraph" w:styleId="Heading6">
    <w:name w:val="heading 6"/>
    <w:basedOn w:val="Normal"/>
    <w:next w:val="Normal"/>
    <w:qFormat/>
    <w:rsid w:val="00C34B47"/>
    <w:pPr>
      <w:keepNext/>
      <w:outlineLvl w:val="5"/>
    </w:pPr>
    <w:rPr>
      <w:rFonts w:ascii="Century Schoolbook" w:hAnsi="Century Schoolbook"/>
      <w:b/>
      <w:i/>
      <w:sz w:val="24"/>
    </w:rPr>
  </w:style>
  <w:style w:type="paragraph" w:styleId="Heading7">
    <w:name w:val="heading 7"/>
    <w:basedOn w:val="Normal"/>
    <w:next w:val="Normal"/>
    <w:qFormat/>
    <w:rsid w:val="00C34B47"/>
    <w:pPr>
      <w:keepNext/>
      <w:outlineLvl w:val="6"/>
    </w:pPr>
    <w:rPr>
      <w:b/>
      <w:bCs/>
      <w:sz w:val="16"/>
    </w:rPr>
  </w:style>
  <w:style w:type="paragraph" w:styleId="Heading8">
    <w:name w:val="heading 8"/>
    <w:basedOn w:val="Normal"/>
    <w:next w:val="Normal"/>
    <w:qFormat/>
    <w:rsid w:val="00C34B47"/>
    <w:pPr>
      <w:keepNext/>
      <w:jc w:val="center"/>
      <w:outlineLvl w:val="7"/>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C34B47"/>
    <w:rPr>
      <w:rFonts w:ascii="Century Schoolbook" w:hAnsi="Century Schoolbook"/>
    </w:rPr>
  </w:style>
  <w:style w:type="paragraph" w:styleId="BodyText2">
    <w:name w:val="Body Text 2"/>
    <w:basedOn w:val="Normal"/>
    <w:rsid w:val="00C34B47"/>
    <w:pPr>
      <w:jc w:val="both"/>
    </w:pPr>
    <w:rPr>
      <w:rFonts w:ascii="Century Schoolbook" w:hAnsi="Century Schoolbook"/>
    </w:rPr>
  </w:style>
  <w:style w:type="paragraph" w:styleId="Footer">
    <w:name w:val="footer"/>
    <w:basedOn w:val="Normal"/>
    <w:rsid w:val="00C34B47"/>
    <w:pPr>
      <w:tabs>
        <w:tab w:val="center" w:pos="4320"/>
        <w:tab w:val="right" w:pos="8640"/>
      </w:tabs>
    </w:pPr>
  </w:style>
  <w:style w:type="character" w:styleId="PageNumber">
    <w:name w:val="page number"/>
    <w:basedOn w:val="DefaultParagraphFont"/>
    <w:rsid w:val="00C34B47"/>
  </w:style>
  <w:style w:type="paragraph" w:styleId="Header">
    <w:name w:val="header"/>
    <w:basedOn w:val="Normal"/>
    <w:rsid w:val="00C34B47"/>
    <w:pPr>
      <w:tabs>
        <w:tab w:val="center" w:pos="4320"/>
        <w:tab w:val="right" w:pos="8640"/>
      </w:tabs>
    </w:pPr>
  </w:style>
  <w:style w:type="paragraph" w:styleId="Title">
    <w:name w:val="Title"/>
    <w:basedOn w:val="Normal"/>
    <w:qFormat/>
    <w:rsid w:val="00C34B47"/>
    <w:pPr>
      <w:pBdr>
        <w:bottom w:val="thickThinSmallGap" w:sz="24" w:space="1" w:color="auto"/>
      </w:pBdr>
      <w:tabs>
        <w:tab w:val="left" w:pos="1260"/>
      </w:tabs>
      <w:ind w:left="1260" w:hanging="1260"/>
      <w:jc w:val="center"/>
    </w:pPr>
    <w:rPr>
      <w:rFonts w:ascii="Bookman Old Style" w:hAnsi="Bookman Old Style"/>
      <w:b/>
    </w:rPr>
  </w:style>
  <w:style w:type="paragraph" w:styleId="BodyTextIndent">
    <w:name w:val="Body Text Indent"/>
    <w:basedOn w:val="Normal"/>
    <w:rsid w:val="00C34B47"/>
    <w:pPr>
      <w:ind w:left="720"/>
    </w:pPr>
    <w:rPr>
      <w:rFonts w:ascii="Arial" w:hAnsi="Arial"/>
      <w:sz w:val="24"/>
    </w:rPr>
  </w:style>
  <w:style w:type="paragraph" w:styleId="BodyTextIndent2">
    <w:name w:val="Body Text Indent 2"/>
    <w:basedOn w:val="Normal"/>
    <w:rsid w:val="00C34B47"/>
    <w:pPr>
      <w:ind w:left="360"/>
    </w:pPr>
    <w:rPr>
      <w:rFonts w:ascii="Century Schoolbook" w:hAnsi="Century Schoolbook"/>
    </w:rPr>
  </w:style>
  <w:style w:type="paragraph" w:styleId="BodyText3">
    <w:name w:val="Body Text 3"/>
    <w:basedOn w:val="Normal"/>
    <w:rsid w:val="00C34B47"/>
    <w:pPr>
      <w:widowControl w:val="0"/>
    </w:pPr>
    <w:rPr>
      <w:snapToGrid w:val="0"/>
    </w:rPr>
  </w:style>
  <w:style w:type="paragraph" w:customStyle="1" w:styleId="Question">
    <w:name w:val="Question"/>
    <w:basedOn w:val="Normal"/>
    <w:rsid w:val="00C34B47"/>
    <w:pPr>
      <w:tabs>
        <w:tab w:val="left" w:pos="360"/>
        <w:tab w:val="left" w:pos="900"/>
        <w:tab w:val="left" w:pos="8640"/>
        <w:tab w:val="left" w:pos="9360"/>
      </w:tabs>
    </w:pPr>
    <w:rPr>
      <w:rFonts w:ascii="TimesNewRomanPS" w:hAnsi="TimesNewRomanPS"/>
      <w:b/>
      <w:noProof/>
      <w:sz w:val="24"/>
    </w:rPr>
  </w:style>
  <w:style w:type="paragraph" w:customStyle="1" w:styleId="LetteredChoices">
    <w:name w:val="Lettered Choices"/>
    <w:basedOn w:val="Header"/>
    <w:rsid w:val="00C34B47"/>
    <w:pPr>
      <w:numPr>
        <w:numId w:val="15"/>
      </w:numPr>
      <w:tabs>
        <w:tab w:val="clear" w:pos="4320"/>
        <w:tab w:val="clear" w:pos="8640"/>
      </w:tabs>
      <w:spacing w:before="200" w:line="320" w:lineRule="atLeast"/>
    </w:pPr>
    <w:rPr>
      <w:rFonts w:ascii="Arial" w:hAnsi="Arial" w:cs="Arial"/>
    </w:rPr>
  </w:style>
  <w:style w:type="paragraph" w:styleId="DocumentMap">
    <w:name w:val="Document Map"/>
    <w:basedOn w:val="Normal"/>
    <w:semiHidden/>
    <w:rsid w:val="00C34B47"/>
    <w:pPr>
      <w:shd w:val="clear" w:color="auto" w:fill="000080"/>
    </w:pPr>
    <w:rPr>
      <w:rFonts w:ascii="Tahoma" w:hAnsi="Tahoma" w:cs="Tahoma"/>
    </w:rPr>
  </w:style>
  <w:style w:type="paragraph" w:styleId="BalloonText">
    <w:name w:val="Balloon Text"/>
    <w:basedOn w:val="Normal"/>
    <w:semiHidden/>
    <w:unhideWhenUsed/>
    <w:rsid w:val="00C34B47"/>
    <w:rPr>
      <w:rFonts w:ascii="Tahoma" w:hAnsi="Tahoma" w:cs="Tahoma"/>
      <w:sz w:val="16"/>
      <w:szCs w:val="16"/>
    </w:rPr>
  </w:style>
  <w:style w:type="character" w:customStyle="1" w:styleId="BalloonTextChar">
    <w:name w:val="Balloon Text Char"/>
    <w:basedOn w:val="DefaultParagraphFont"/>
    <w:semiHidden/>
    <w:rsid w:val="00C34B47"/>
    <w:rPr>
      <w:rFonts w:ascii="Tahoma" w:hAnsi="Tahoma" w:cs="Tahoma"/>
      <w:sz w:val="16"/>
      <w:szCs w:val="16"/>
    </w:rPr>
  </w:style>
  <w:style w:type="paragraph" w:styleId="Revision">
    <w:name w:val="Revision"/>
    <w:hidden/>
    <w:uiPriority w:val="99"/>
    <w:semiHidden/>
    <w:rsid w:val="00CA6D00"/>
    <w:rPr>
      <w:sz w:val="22"/>
    </w:rPr>
  </w:style>
  <w:style w:type="character" w:styleId="CommentReference">
    <w:name w:val="annotation reference"/>
    <w:basedOn w:val="DefaultParagraphFont"/>
    <w:rsid w:val="00107ED9"/>
    <w:rPr>
      <w:sz w:val="16"/>
      <w:szCs w:val="16"/>
    </w:rPr>
  </w:style>
  <w:style w:type="paragraph" w:styleId="CommentText">
    <w:name w:val="annotation text"/>
    <w:basedOn w:val="Normal"/>
    <w:link w:val="CommentTextChar"/>
    <w:rsid w:val="00107ED9"/>
    <w:rPr>
      <w:sz w:val="20"/>
    </w:rPr>
  </w:style>
  <w:style w:type="character" w:customStyle="1" w:styleId="CommentTextChar">
    <w:name w:val="Comment Text Char"/>
    <w:basedOn w:val="DefaultParagraphFont"/>
    <w:link w:val="CommentText"/>
    <w:rsid w:val="00107ED9"/>
  </w:style>
  <w:style w:type="paragraph" w:styleId="CommentSubject">
    <w:name w:val="annotation subject"/>
    <w:basedOn w:val="CommentText"/>
    <w:next w:val="CommentText"/>
    <w:link w:val="CommentSubjectChar"/>
    <w:rsid w:val="00107ED9"/>
    <w:rPr>
      <w:b/>
      <w:bCs/>
    </w:rPr>
  </w:style>
  <w:style w:type="character" w:customStyle="1" w:styleId="CommentSubjectChar">
    <w:name w:val="Comment Subject Char"/>
    <w:basedOn w:val="CommentTextChar"/>
    <w:link w:val="CommentSubject"/>
    <w:rsid w:val="00107ED9"/>
    <w:rPr>
      <w:b/>
      <w:bCs/>
    </w:rPr>
  </w:style>
  <w:style w:type="paragraph" w:styleId="ListParagraph">
    <w:name w:val="List Paragraph"/>
    <w:basedOn w:val="Normal"/>
    <w:uiPriority w:val="34"/>
    <w:qFormat/>
    <w:rsid w:val="005B1D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70B1E-40AD-4038-8758-8720D7A35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3158</Words>
  <Characters>18007</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HCAD</Company>
  <LinksUpToDate>false</LinksUpToDate>
  <CharactersWithSpaces>21123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Dennis Mabe</dc:creator>
  <cp:lastModifiedBy>celinazcad@outlook.com</cp:lastModifiedBy>
  <cp:revision>2</cp:revision>
  <cp:lastPrinted>2026-07-10T16:08:00Z</cp:lastPrinted>
  <dcterms:created xsi:type="dcterms:W3CDTF">2026-08-07T16:31:00Z</dcterms:created>
  <dcterms:modified xsi:type="dcterms:W3CDTF">2026-08-07T16:31:00Z</dcterms:modified>
</cp:coreProperties>
</file>